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Технические требования </w:t>
      </w:r>
      <w:r>
        <w:rPr>
          <w:rFonts w:eastAsia="Calibri"/>
          <w:b/>
          <w:sz w:val="24"/>
          <w:szCs w:val="24"/>
        </w:rPr>
        <w:t xml:space="preserve">на поставку МТР</w:t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  <w:t xml:space="preserve">ОКДП2 14.1. Поставка спецодежды и обуви для подразделений АО ДГК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jc w:val="center"/>
        <w:keepLines/>
        <w:keepNext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szCs w:val="24"/>
          <w:u w:val="none"/>
          <w:vertAlign w:val="baseline"/>
        </w:rPr>
        <w:t xml:space="preserve">42016024-ЭКСП ПРОД-2026-ДГК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 w:clear="all"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72"/>
        <w:tabs>
          <w:tab w:val="left" w:pos="567" w:leader="none"/>
          <w:tab w:val="right" w:pos="9911" w:leader="dot"/>
        </w:tabs>
      </w:pPr>
      <w:r>
        <w:rPr>
          <w:i/>
        </w:rPr>
        <w:fldChar w:fldCharType="begin"/>
      </w:r>
      <w:r>
        <w:rPr>
          <w:i/>
        </w:rPr>
        <w:instrText xml:space="preserve"> TOC \o "1-4" \h \z \u </w:instrText>
      </w:r>
      <w:r>
        <w:rPr>
          <w:i/>
        </w:rPr>
        <w:fldChar w:fldCharType="separate"/>
      </w:r>
      <w:r>
        <w:rPr>
          <w:b w:val="0"/>
          <w:i/>
        </w:rPr>
      </w:r>
      <w:hyperlink w:tooltip="#_Toc50125127" w:anchor="_Toc50125127" w:history="1">
        <w:r>
          <w:rPr>
            <w:rFonts w:ascii="Times New Roman" w:hAnsi="Times New Roman" w:eastAsia="Calibri" w:cs="Times New Roman"/>
          </w:rPr>
          <w:t xml:space="preserve">1.</w:t>
        </w:r>
        <w:r>
          <w:tab/>
        </w:r>
        <w:r>
          <w:rPr>
            <w:rStyle w:val="974"/>
          </w:rPr>
        </w:r>
        <w:r>
          <w:rPr>
            <w:rStyle w:val="974"/>
          </w:rPr>
          <w:t xml:space="preserve">Общие сведения</w:t>
        </w:r>
        <w:r>
          <w:rPr>
            <w:rStyle w:val="974"/>
          </w:rPr>
        </w:r>
        <w:r>
          <w:tab/>
        </w:r>
        <w:r>
          <w:fldChar w:fldCharType="begin"/>
          <w:instrText xml:space="preserve">PAGEREF _Toc50125127 \h</w:instrText>
          <w:fldChar w:fldCharType="separate"/>
          <w:t xml:space="preserve">3</w:t>
          <w:fldChar w:fldCharType="end"/>
        </w:r>
      </w:hyperlink>
      <w:r/>
      <w:r/>
    </w:p>
    <w:p>
      <w:pPr>
        <w:pStyle w:val="977"/>
        <w:tabs>
          <w:tab w:val="left" w:pos="850" w:leader="none"/>
          <w:tab w:val="right" w:pos="9911" w:leader="dot"/>
        </w:tabs>
      </w:pPr>
      <w:r/>
      <w:hyperlink w:tooltip="#_Toc50125128" w:anchor="_Toc50125128" w:history="1">
        <w:r>
          <w:rPr>
            <w:rFonts w:ascii="Times New Roman" w:hAnsi="Times New Roman" w:eastAsia="Calibri" w:cs="Times New Roman"/>
          </w:rPr>
          <w:t xml:space="preserve">1.1.</w:t>
        </w:r>
        <w:r>
          <w:tab/>
        </w:r>
        <w:r>
          <w:rPr>
            <w:rStyle w:val="974"/>
          </w:rPr>
        </w:r>
        <w:r>
          <w:rPr>
            <w:rStyle w:val="974"/>
          </w:rPr>
          <w:t xml:space="preserve">Обозначения и сокращения</w:t>
        </w:r>
        <w:r>
          <w:rPr>
            <w:rStyle w:val="974"/>
          </w:rPr>
          <w:t xml:space="preserve">.</w:t>
        </w:r>
        <w:r>
          <w:rPr>
            <w:rStyle w:val="974"/>
          </w:rPr>
          <w:t xml:space="preserve"> </w:t>
        </w:r>
        <w:r>
          <w:rPr>
            <w:rStyle w:val="974"/>
          </w:rPr>
        </w:r>
        <w:r>
          <w:tab/>
        </w:r>
        <w:r>
          <w:fldChar w:fldCharType="begin"/>
          <w:instrText xml:space="preserve">PAGEREF _Toc50125128 \h</w:instrText>
          <w:fldChar w:fldCharType="separate"/>
          <w:t xml:space="preserve">3</w:t>
          <w:fldChar w:fldCharType="end"/>
        </w:r>
      </w:hyperlink>
      <w:r/>
      <w:r/>
    </w:p>
    <w:p>
      <w:pPr>
        <w:pStyle w:val="977"/>
        <w:tabs>
          <w:tab w:val="left" w:pos="850" w:leader="none"/>
          <w:tab w:val="right" w:pos="9911" w:leader="dot"/>
        </w:tabs>
      </w:pPr>
      <w:r/>
      <w:hyperlink w:tooltip="#_Toc50125129" w:anchor="_Toc50125129" w:history="1">
        <w:r>
          <w:rPr>
            <w:rFonts w:ascii="Times New Roman" w:hAnsi="Times New Roman" w:eastAsia="Calibri" w:cs="Times New Roman"/>
          </w:rPr>
          <w:t xml:space="preserve">1.2.</w:t>
        </w:r>
        <w:r>
          <w:tab/>
        </w:r>
        <w:r>
          <w:rPr>
            <w:rStyle w:val="974"/>
          </w:rPr>
        </w:r>
        <w:r>
          <w:rPr>
            <w:rStyle w:val="974"/>
          </w:rPr>
          <w:t xml:space="preserve">Наименование </w:t>
        </w:r>
        <w:r>
          <w:rPr>
            <w:rStyle w:val="974"/>
          </w:rPr>
          <w:t xml:space="preserve">закупаемой продукции</w:t>
        </w:r>
        <w:r>
          <w:rPr>
            <w:rStyle w:val="974"/>
          </w:rPr>
          <w:t xml:space="preserve"> </w:t>
        </w:r>
        <w:r>
          <w:rPr>
            <w:rStyle w:val="974"/>
          </w:rPr>
        </w:r>
        <w:r>
          <w:tab/>
        </w:r>
        <w:r>
          <w:fldChar w:fldCharType="begin"/>
          <w:instrText xml:space="preserve">PAGEREF _Toc50125129 \h</w:instrText>
          <w:fldChar w:fldCharType="separate"/>
          <w:t xml:space="preserve">3</w:t>
          <w:fldChar w:fldCharType="end"/>
        </w:r>
      </w:hyperlink>
      <w:r/>
      <w:r/>
    </w:p>
    <w:p>
      <w:pPr>
        <w:pStyle w:val="977"/>
        <w:tabs>
          <w:tab w:val="left" w:pos="850" w:leader="none"/>
          <w:tab w:val="right" w:pos="9911" w:leader="dot"/>
        </w:tabs>
      </w:pPr>
      <w:r/>
      <w:hyperlink w:tooltip="#_Toc50125130" w:anchor="_Toc50125130" w:history="1">
        <w:r>
          <w:rPr>
            <w:rFonts w:ascii="Times New Roman" w:hAnsi="Times New Roman" w:eastAsia="Calibri" w:cs="Times New Roman"/>
          </w:rPr>
          <w:t xml:space="preserve">1.3.</w:t>
        </w:r>
        <w:r>
          <w:tab/>
        </w:r>
        <w:r>
          <w:rPr>
            <w:rStyle w:val="974"/>
          </w:rPr>
        </w:r>
        <w:r>
          <w:rPr>
            <w:rStyle w:val="974"/>
          </w:rPr>
          <w:t xml:space="preserve">Цель </w:t>
        </w:r>
        <w:r>
          <w:rPr>
            <w:rStyle w:val="974"/>
          </w:rPr>
          <w:t xml:space="preserve">использования закупаемой продукции </w:t>
        </w:r>
        <w:r>
          <w:rPr>
            <w:rStyle w:val="974"/>
          </w:rPr>
        </w:r>
        <w:r>
          <w:tab/>
        </w:r>
        <w:r>
          <w:fldChar w:fldCharType="begin"/>
          <w:instrText xml:space="preserve">PAGEREF _Toc50125130 \h</w:instrText>
          <w:fldChar w:fldCharType="separate"/>
          <w:t xml:space="preserve">3</w:t>
          <w:fldChar w:fldCharType="end"/>
        </w:r>
      </w:hyperlink>
      <w:r/>
      <w:r/>
    </w:p>
    <w:p>
      <w:pPr>
        <w:pStyle w:val="977"/>
        <w:tabs>
          <w:tab w:val="left" w:pos="850" w:leader="none"/>
          <w:tab w:val="right" w:pos="9911" w:leader="dot"/>
        </w:tabs>
      </w:pPr>
      <w:r/>
      <w:hyperlink w:tooltip="#_Toc50125131" w:anchor="_Toc50125131" w:history="1">
        <w:r>
          <w:rPr>
            <w:rFonts w:ascii="Times New Roman" w:hAnsi="Times New Roman" w:eastAsia="Calibri" w:cs="Times New Roman"/>
          </w:rPr>
          <w:t xml:space="preserve">1.4.</w:t>
        </w:r>
        <w:r>
          <w:tab/>
        </w:r>
        <w:r>
          <w:rPr>
            <w:rStyle w:val="974"/>
          </w:rPr>
        </w:r>
        <w:r>
          <w:rPr>
            <w:rStyle w:val="974"/>
          </w:rPr>
          <w:t xml:space="preserve">Требования к участнику закупки</w:t>
        </w:r>
        <w:r>
          <w:rPr>
            <w:rStyle w:val="974"/>
          </w:rPr>
        </w:r>
        <w:r>
          <w:tab/>
        </w:r>
        <w:r>
          <w:fldChar w:fldCharType="begin"/>
          <w:instrText xml:space="preserve">PAGEREF _Toc50125131 \h</w:instrText>
          <w:fldChar w:fldCharType="separate"/>
          <w:t xml:space="preserve">3</w:t>
          <w:fldChar w:fldCharType="end"/>
        </w:r>
      </w:hyperlink>
      <w:r/>
      <w:r/>
    </w:p>
    <w:p>
      <w:pPr>
        <w:pStyle w:val="977"/>
        <w:tabs>
          <w:tab w:val="left" w:pos="850" w:leader="none"/>
          <w:tab w:val="right" w:pos="9911" w:leader="dot"/>
        </w:tabs>
      </w:pPr>
      <w:r/>
      <w:hyperlink w:tooltip="#_Toc50125132" w:anchor="_Toc50125132" w:history="1">
        <w:r>
          <w:rPr>
            <w:rFonts w:ascii="Times New Roman" w:hAnsi="Times New Roman" w:eastAsia="Calibri" w:cs="Times New Roman"/>
          </w:rPr>
          <w:t xml:space="preserve">1.5.</w:t>
        </w:r>
        <w:r>
          <w:tab/>
        </w:r>
        <w:r>
          <w:rPr>
            <w:rStyle w:val="974"/>
          </w:rPr>
        </w:r>
        <w:r>
          <w:rPr>
            <w:rStyle w:val="974"/>
            <w:highlight w:val="none"/>
          </w:rPr>
          <w:t xml:space="preserve">Требования к составу заявки.</w:t>
        </w:r>
        <w:r>
          <w:rPr>
            <w:rStyle w:val="974"/>
            <w:highlight w:val="none"/>
          </w:rPr>
        </w:r>
        <w:r>
          <w:tab/>
        </w:r>
        <w:r>
          <w:fldChar w:fldCharType="begin"/>
          <w:instrText xml:space="preserve">PAGEREF _Toc50125132 \h</w:instrText>
          <w:fldChar w:fldCharType="separate"/>
          <w:t xml:space="preserve">3</w:t>
          <w:fldChar w:fldCharType="end"/>
        </w:r>
      </w:hyperlink>
      <w:r/>
      <w:r/>
    </w:p>
    <w:p>
      <w:pPr>
        <w:pStyle w:val="977"/>
        <w:tabs>
          <w:tab w:val="left" w:pos="850" w:leader="none"/>
          <w:tab w:val="right" w:pos="9911" w:leader="dot"/>
        </w:tabs>
      </w:pPr>
      <w:r/>
      <w:hyperlink w:tooltip="#_Toc50125133" w:anchor="_Toc50125133" w:history="1">
        <w:r>
          <w:rPr>
            <w:rFonts w:ascii="Times New Roman" w:hAnsi="Times New Roman" w:eastAsia="Calibri" w:cs="Times New Roman"/>
          </w:rPr>
          <w:t xml:space="preserve">1.6.</w:t>
        </w:r>
        <w:r>
          <w:tab/>
        </w:r>
        <w:r>
          <w:rPr>
            <w:rStyle w:val="974"/>
          </w:rPr>
        </w:r>
        <w:r>
          <w:rPr>
            <w:rStyle w:val="974"/>
          </w:rPr>
          <w:t xml:space="preserve">Иные тре</w:t>
        </w:r>
        <w:r>
          <w:rPr>
            <w:rStyle w:val="974"/>
          </w:rPr>
          <w:t xml:space="preserve">б</w:t>
        </w:r>
        <w:r>
          <w:rPr>
            <w:rStyle w:val="974"/>
          </w:rPr>
          <w:t xml:space="preserve">ования и сведения общего хар</w:t>
        </w:r>
        <w:r>
          <w:rPr>
            <w:rStyle w:val="974"/>
          </w:rPr>
          <w:t xml:space="preserve">актера</w:t>
        </w:r>
        <w:r>
          <w:rPr>
            <w:rStyle w:val="974"/>
          </w:rPr>
          <w:t xml:space="preserve">.</w:t>
        </w:r>
        <w:r>
          <w:rPr>
            <w:rStyle w:val="974"/>
          </w:rPr>
          <w:t xml:space="preserve"> </w:t>
        </w:r>
        <w:r>
          <w:rPr>
            <w:rStyle w:val="974"/>
          </w:rPr>
        </w:r>
        <w:r>
          <w:tab/>
        </w:r>
        <w:r>
          <w:fldChar w:fldCharType="begin"/>
          <w:instrText xml:space="preserve">PAGEREF _Toc50125133 \h</w:instrText>
          <w:fldChar w:fldCharType="separate"/>
          <w:t xml:space="preserve">4</w:t>
          <w:fldChar w:fldCharType="end"/>
        </w:r>
      </w:hyperlink>
      <w:r/>
      <w:r/>
    </w:p>
    <w:p>
      <w:pPr>
        <w:pStyle w:val="972"/>
        <w:tabs>
          <w:tab w:val="left" w:pos="567" w:leader="none"/>
          <w:tab w:val="right" w:pos="9911" w:leader="dot"/>
        </w:tabs>
      </w:pPr>
      <w:r/>
      <w:hyperlink w:tooltip="#_Toc50125134" w:anchor="_Toc50125134" w:history="1">
        <w:r>
          <w:rPr>
            <w:rFonts w:ascii="Times New Roman" w:hAnsi="Times New Roman" w:eastAsia="Calibri" w:cs="Times New Roman"/>
          </w:rPr>
          <w:t xml:space="preserve">2.</w:t>
        </w:r>
        <w:r>
          <w:tab/>
        </w:r>
        <w:r>
          <w:rPr>
            <w:rStyle w:val="974"/>
          </w:rPr>
        </w:r>
        <w:r>
          <w:rPr>
            <w:rStyle w:val="974"/>
          </w:rPr>
          <w:t xml:space="preserve">Требования к продукции</w:t>
        </w:r>
        <w:r>
          <w:rPr>
            <w:rStyle w:val="974"/>
          </w:rPr>
        </w:r>
        <w:r>
          <w:tab/>
        </w:r>
        <w:r>
          <w:fldChar w:fldCharType="begin"/>
          <w:instrText xml:space="preserve">PAGEREF _Toc50125134 \h</w:instrText>
          <w:fldChar w:fldCharType="separate"/>
          <w:t xml:space="preserve">4</w:t>
          <w:fldChar w:fldCharType="end"/>
        </w:r>
      </w:hyperlink>
      <w:r/>
      <w:r/>
    </w:p>
    <w:p>
      <w:pPr>
        <w:pStyle w:val="977"/>
        <w:tabs>
          <w:tab w:val="left" w:pos="850" w:leader="none"/>
          <w:tab w:val="right" w:pos="9911" w:leader="dot"/>
        </w:tabs>
      </w:pPr>
      <w:r/>
      <w:hyperlink w:tooltip="#_Toc50125135" w:anchor="_Toc50125135" w:history="1">
        <w:r>
          <w:rPr>
            <w:rFonts w:ascii="Times New Roman" w:hAnsi="Times New Roman" w:eastAsia="Calibri" w:cs="Times New Roman"/>
          </w:rPr>
          <w:t xml:space="preserve">2.1.</w:t>
        </w:r>
        <w:r>
          <w:tab/>
        </w:r>
        <w:r>
          <w:rPr>
            <w:rStyle w:val="974"/>
          </w:rPr>
        </w:r>
        <w:r>
          <w:rPr>
            <w:rStyle w:val="974"/>
          </w:rPr>
          <w:t xml:space="preserve">Требования к объему </w:t>
        </w:r>
        <w:r>
          <w:rPr>
            <w:rStyle w:val="974"/>
          </w:rPr>
          <w:t xml:space="preserve">поставки</w:t>
        </w:r>
        <w:r>
          <w:rPr>
            <w:rStyle w:val="974"/>
          </w:rPr>
        </w:r>
        <w:r>
          <w:tab/>
        </w:r>
        <w:r>
          <w:fldChar w:fldCharType="begin"/>
          <w:instrText xml:space="preserve">PAGEREF _Toc50125135 \h</w:instrText>
          <w:fldChar w:fldCharType="separate"/>
          <w:t xml:space="preserve">4</w:t>
          <w:fldChar w:fldCharType="end"/>
        </w:r>
      </w:hyperlink>
      <w:r/>
      <w:r/>
    </w:p>
    <w:p>
      <w:pPr>
        <w:pStyle w:val="977"/>
        <w:tabs>
          <w:tab w:val="left" w:pos="850" w:leader="none"/>
          <w:tab w:val="right" w:pos="9911" w:leader="dot"/>
        </w:tabs>
        <w:rPr>
          <w:highlight w:val="none"/>
          <w14:ligatures w14:val="none"/>
        </w:rPr>
      </w:pPr>
      <w:r/>
      <w:hyperlink w:tooltip="#_Toc50125136" w:anchor="_Toc50125136" w:history="1">
        <w:r>
          <w:rPr>
            <w:rFonts w:ascii="Times New Roman" w:hAnsi="Times New Roman" w:eastAsia="Calibri" w:cs="Times New Roman"/>
          </w:rPr>
          <w:t xml:space="preserve">2.2.</w:t>
        </w:r>
        <w:r>
          <w:tab/>
        </w:r>
        <w:r>
          <w:rPr>
            <w:rStyle w:val="974"/>
          </w:rPr>
        </w:r>
        <w:r>
          <w:rPr>
            <w:rStyle w:val="974"/>
            <w:highlight w:val="none"/>
            <w:lang w:eastAsia="ru-RU"/>
          </w:rPr>
          <w:t xml:space="preserve">Требования к качественным характеристикам продукции.</w:t>
        </w:r>
        <w:r>
          <w:rPr>
            <w:rStyle w:val="974"/>
            <w:highlight w:val="none"/>
            <w:lang w:eastAsia="ru-RU"/>
            <w14:ligatures w14:val="none"/>
          </w:rPr>
        </w:r>
        <w:r>
          <w:tab/>
        </w:r>
        <w:r>
          <w:fldChar w:fldCharType="begin"/>
          <w:instrText xml:space="preserve">PAGEREF _Toc50125136 \h</w:instrText>
          <w:fldChar w:fldCharType="separate"/>
          <w:t xml:space="preserve">5</w:t>
          <w:fldChar w:fldCharType="end"/>
        </w:r>
      </w:hyperlink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</w:p>
    <w:p>
      <w:pPr>
        <w:pStyle w:val="977"/>
        <w:tabs>
          <w:tab w:val="left" w:pos="850" w:leader="none"/>
          <w:tab w:val="right" w:pos="9911" w:leader="dot"/>
        </w:tabs>
        <w:rPr>
          <w14:ligatures w14:val="none"/>
        </w:rPr>
      </w:pPr>
      <w:r/>
      <w:hyperlink w:tooltip="#_Toc50125137" w:anchor="_Toc50125137" w:history="1">
        <w:r>
          <w:rPr>
            <w:rFonts w:ascii="Times New Roman" w:hAnsi="Times New Roman" w:eastAsia="Calibri" w:cs="Times New Roman"/>
          </w:rPr>
          <w:t xml:space="preserve">2.3.</w:t>
        </w:r>
        <w:r>
          <w:tab/>
        </w:r>
        <w:r>
          <w:rPr>
            <w:rStyle w:val="974"/>
          </w:rPr>
        </w:r>
        <w:r>
          <w:rPr>
            <w:rStyle w:val="974"/>
          </w:rPr>
          <w:t xml:space="preserve">Требования к конструкции моделей.</w:t>
        </w:r>
        <w:r>
          <w:rPr>
            <w:rStyle w:val="974"/>
            <w:highlight w:val="none"/>
            <w:lang w:eastAsia="ru-RU"/>
            <w14:ligatures w14:val="none"/>
          </w:rPr>
        </w:r>
        <w:r>
          <w:tab/>
        </w:r>
        <w:r>
          <w:fldChar w:fldCharType="begin"/>
          <w:instrText xml:space="preserve">PAGEREF _Toc50125137 \h</w:instrText>
          <w:fldChar w:fldCharType="separate"/>
          <w:t xml:space="preserve">5</w:t>
          <w:fldChar w:fldCharType="end"/>
        </w:r>
      </w:hyperlink>
      <w:r>
        <w:rPr>
          <w14:ligatures w14:val="none"/>
        </w:rPr>
      </w:r>
      <w:r>
        <w:rPr>
          <w14:ligatures w14:val="none"/>
        </w:rPr>
      </w:r>
    </w:p>
    <w:p>
      <w:pPr>
        <w:pStyle w:val="977"/>
        <w:tabs>
          <w:tab w:val="left" w:pos="850" w:leader="none"/>
          <w:tab w:val="right" w:pos="9911" w:leader="dot"/>
        </w:tabs>
        <w:rPr>
          <w:highlight w:val="none"/>
          <w14:ligatures w14:val="none"/>
        </w:rPr>
      </w:pPr>
      <w:r/>
      <w:hyperlink w:tooltip="#_Toc50125138" w:anchor="_Toc50125138" w:history="1">
        <w:r>
          <w:rPr>
            <w:rFonts w:ascii="Times New Roman" w:hAnsi="Times New Roman" w:eastAsia="Calibri" w:cs="Times New Roman"/>
          </w:rPr>
          <w:t xml:space="preserve">2.4.</w:t>
        </w:r>
        <w:r>
          <w:tab/>
        </w:r>
        <w:r>
          <w:rPr>
            <w:rStyle w:val="974"/>
          </w:rPr>
        </w:r>
        <w:r>
          <w:rPr>
            <w:rStyle w:val="974"/>
            <w:highlight w:val="none"/>
          </w:rPr>
          <w:t xml:space="preserve">Требования к месту поставки.</w:t>
        </w:r>
        <w:r>
          <w:rPr>
            <w:rStyle w:val="974"/>
            <w:highlight w:val="none"/>
            <w:lang w:eastAsia="ru-RU"/>
            <w14:ligatures w14:val="none"/>
          </w:rPr>
        </w:r>
        <w:r>
          <w:tab/>
        </w:r>
        <w:r>
          <w:fldChar w:fldCharType="begin"/>
          <w:instrText xml:space="preserve">PAGEREF _Toc50125138 \h</w:instrText>
          <w:fldChar w:fldCharType="separate"/>
          <w:t xml:space="preserve">5</w:t>
          <w:fldChar w:fldCharType="end"/>
        </w:r>
      </w:hyperlink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</w:p>
    <w:p>
      <w:pPr>
        <w:pStyle w:val="977"/>
        <w:tabs>
          <w:tab w:val="left" w:pos="850" w:leader="none"/>
          <w:tab w:val="right" w:pos="9911" w:leader="dot"/>
        </w:tabs>
        <w:rPr>
          <w:highlight w:val="none"/>
          <w14:ligatures w14:val="none"/>
        </w:rPr>
      </w:pPr>
      <w:r/>
      <w:hyperlink w:tooltip="#_Toc50125139" w:anchor="_Toc50125139" w:history="1">
        <w:r>
          <w:rPr>
            <w:rFonts w:ascii="Times New Roman" w:hAnsi="Times New Roman" w:eastAsia="Calibri" w:cs="Times New Roman"/>
          </w:rPr>
          <w:t xml:space="preserve">2.5.</w:t>
        </w:r>
        <w:r>
          <w:tab/>
        </w:r>
        <w:r>
          <w:rPr>
            <w:rStyle w:val="974"/>
          </w:rPr>
        </w:r>
        <w:r>
          <w:rPr>
            <w:rStyle w:val="974"/>
            <w:highlight w:val="none"/>
          </w:rPr>
          <w:t xml:space="preserve">Требования к срокам поставки.</w:t>
        </w:r>
        <w:r>
          <w:rPr>
            <w:rStyle w:val="974"/>
          </w:rPr>
        </w:r>
        <w:r>
          <w:tab/>
        </w:r>
        <w:r>
          <w:fldChar w:fldCharType="begin"/>
          <w:instrText xml:space="preserve">PAGEREF _Toc50125139 \h</w:instrText>
          <w:fldChar w:fldCharType="separate"/>
          <w:t xml:space="preserve">6</w:t>
          <w:fldChar w:fldCharType="end"/>
        </w:r>
      </w:hyperlink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</w:p>
    <w:p>
      <w:pPr>
        <w:pStyle w:val="972"/>
        <w:tabs>
          <w:tab w:val="right" w:pos="9911" w:leader="dot"/>
        </w:tabs>
      </w:pPr>
      <w:r/>
      <w:hyperlink w:tooltip="#_Toc50125140" w:anchor="_Toc50125140" w:history="1">
        <w:r>
          <w:rPr>
            <w:rStyle w:val="974"/>
          </w:rPr>
        </w:r>
        <w:r>
          <w:rPr>
            <w:rStyle w:val="974"/>
            <w:lang w:val="ru-RU"/>
          </w:rPr>
          <w:t xml:space="preserve">3. </w:t>
        </w:r>
        <w:r>
          <w:rPr>
            <w:rStyle w:val="974"/>
            <w:lang w:val="ru-RU"/>
          </w:rPr>
          <w:t xml:space="preserve">Требования к документации по ценообразованию</w:t>
        </w:r>
        <w:r>
          <w:rPr>
            <w:rStyle w:val="974"/>
            <w:lang w:val="ru-RU"/>
          </w:rPr>
          <w:t xml:space="preserve"> на этапе закупки</w:t>
        </w:r>
        <w:r>
          <w:rPr>
            <w:rStyle w:val="974"/>
            <w:lang w:val="ru-RU"/>
          </w:rPr>
          <w:t xml:space="preserve">.</w:t>
        </w:r>
        <w:r>
          <w:rPr>
            <w:rStyle w:val="974"/>
          </w:rPr>
        </w:r>
        <w:r>
          <w:tab/>
        </w:r>
        <w:r>
          <w:fldChar w:fldCharType="begin"/>
          <w:instrText xml:space="preserve">PAGEREF _Toc50125140 \h</w:instrText>
          <w:fldChar w:fldCharType="separate"/>
          <w:t xml:space="preserve">7</w:t>
          <w:fldChar w:fldCharType="end"/>
        </w:r>
      </w:hyperlink>
      <w:r/>
      <w:r/>
    </w:p>
    <w:p>
      <w:pPr>
        <w:pStyle w:val="972"/>
        <w:tabs>
          <w:tab w:val="right" w:pos="9911" w:leader="dot"/>
        </w:tabs>
      </w:pPr>
      <w:r/>
      <w:hyperlink w:tooltip="#_Toc50125141" w:anchor="_Toc50125141" w:history="1">
        <w:r>
          <w:rPr>
            <w:rStyle w:val="974"/>
          </w:rPr>
        </w:r>
        <w:r>
          <w:rPr>
            <w:rStyle w:val="974"/>
            <w:lang w:val="ru-RU"/>
          </w:rPr>
          <w:t xml:space="preserve">4. </w:t>
        </w:r>
        <w:r>
          <w:rPr>
            <w:rStyle w:val="974"/>
            <w:lang w:val="ru-RU"/>
          </w:rPr>
          <w:t xml:space="preserve">Требования к документации по ценообразованию на этапе заключения </w:t>
        </w:r>
        <w:r>
          <w:rPr>
            <w:rStyle w:val="974"/>
            <w:lang w:val="ru-RU"/>
          </w:rPr>
          <w:t xml:space="preserve">(исполнения) </w:t>
        </w:r>
        <w:r>
          <w:rPr>
            <w:rStyle w:val="974"/>
            <w:lang w:val="ru-RU"/>
          </w:rPr>
          <w:t xml:space="preserve">договора</w:t>
        </w:r>
        <w:r>
          <w:rPr>
            <w:rStyle w:val="974"/>
          </w:rPr>
        </w:r>
        <w:r>
          <w:tab/>
        </w:r>
        <w:r>
          <w:fldChar w:fldCharType="begin"/>
          <w:instrText xml:space="preserve">PAGEREF _Toc50125141 \h</w:instrText>
          <w:fldChar w:fldCharType="separate"/>
          <w:t xml:space="preserve">7</w:t>
          <w:fldChar w:fldCharType="end"/>
        </w:r>
      </w:hyperlink>
      <w:r/>
      <w:r/>
    </w:p>
    <w:p>
      <w:pPr>
        <w:pStyle w:val="972"/>
        <w:tabs>
          <w:tab w:val="right" w:pos="9911" w:leader="dot"/>
        </w:tabs>
        <w:rPr>
          <w:iCs/>
          <w:highlight w:val="none"/>
        </w:rPr>
      </w:pPr>
      <w:r/>
      <w:hyperlink w:tooltip="#_Toc50125142" w:anchor="_Toc50125142" w:history="1">
        <w:r>
          <w:rPr>
            <w:rStyle w:val="974"/>
          </w:rPr>
        </w:r>
        <w:r>
          <w:rPr>
            <w:rStyle w:val="974"/>
            <w:iCs/>
            <w:lang w:val="ru-RU"/>
          </w:rPr>
          <w:t xml:space="preserve">5. П</w:t>
        </w:r>
        <w:r>
          <w:rPr>
            <w:rStyle w:val="974"/>
            <w:iCs/>
          </w:rPr>
          <w:t xml:space="preserve">риложения</w:t>
        </w:r>
        <w:r>
          <w:rPr>
            <w:rStyle w:val="974"/>
            <w:iCs/>
            <w:highlight w:val="none"/>
          </w:rPr>
        </w:r>
        <w:r>
          <w:tab/>
        </w:r>
        <w:r>
          <w:fldChar w:fldCharType="begin"/>
          <w:instrText xml:space="preserve">PAGEREF _Toc50125142 \h</w:instrText>
          <w:fldChar w:fldCharType="separate"/>
          <w:t xml:space="preserve">7</w:t>
          <w:fldChar w:fldCharType="end"/>
        </w:r>
      </w:hyperlink>
      <w:r>
        <w:rPr>
          <w:iCs/>
          <w:highlight w:val="none"/>
        </w:rPr>
      </w:r>
      <w:r>
        <w:rPr>
          <w:iCs/>
          <w:highlight w:val="none"/>
        </w:rPr>
      </w:r>
    </w:p>
    <w:p>
      <w:pPr>
        <w:pStyle w:val="939"/>
        <w:spacing w:after="0"/>
        <w:rPr>
          <w:b w:val="0"/>
          <w:bCs/>
          <w:i/>
        </w:rPr>
      </w:pPr>
      <w:r>
        <w:rPr>
          <w:i/>
        </w:rPr>
      </w:r>
      <w:r>
        <w:rPr>
          <w:rFonts w:eastAsia="Times New Roman"/>
          <w:b w:val="0"/>
          <w:i/>
          <w:lang w:val="ru-RU" w:eastAsia="ru-RU"/>
        </w:rPr>
        <w:fldChar w:fldCharType="end"/>
      </w:r>
      <w:r>
        <w:rPr>
          <w:b w:val="0"/>
          <w:bCs/>
          <w:i/>
        </w:rPr>
      </w:r>
      <w:r>
        <w:rPr>
          <w:b w:val="0"/>
          <w:bCs/>
          <w:i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 w:clear="all"/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938"/>
        <w:numPr>
          <w:ilvl w:val="0"/>
          <w:numId w:val="15"/>
        </w:numPr>
        <w:rPr>
          <w:sz w:val="24"/>
          <w:szCs w:val="24"/>
        </w:rPr>
      </w:pPr>
      <w:r/>
      <w:bookmarkStart w:id="17" w:name="_Toc50125127"/>
      <w:r>
        <w:rPr>
          <w:sz w:val="24"/>
          <w:szCs w:val="24"/>
        </w:rPr>
        <w:t xml:space="preserve">Общие сведения</w:t>
      </w:r>
      <w:r>
        <w:rPr>
          <w:sz w:val="24"/>
          <w:szCs w:val="24"/>
        </w:rPr>
      </w:r>
      <w:bookmarkEnd w:id="1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9"/>
        <w:numPr>
          <w:ilvl w:val="1"/>
          <w:numId w:val="10"/>
        </w:numPr>
        <w:rPr>
          <w:sz w:val="24"/>
          <w:szCs w:val="24"/>
        </w:rPr>
      </w:pPr>
      <w:r/>
      <w:bookmarkStart w:id="18" w:name="_Toc50125128"/>
      <w:r>
        <w:rPr>
          <w:sz w:val="24"/>
          <w:szCs w:val="24"/>
        </w:rPr>
        <w:t xml:space="preserve">Обозначения и сокращения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bookmarkEnd w:id="18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78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ind w:left="2" w:right="0" w:hanging="2"/>
              <w:jc w:val="both"/>
              <w:keepLines/>
              <w:keepNext/>
              <w:rPr>
                <w:b w:val="0"/>
                <w:i w:val="0"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</w:t>
            </w:r>
            <w:r>
              <w:rPr>
                <w:b w:val="0"/>
                <w:i w:val="0"/>
                <w:iCs/>
                <w:sz w:val="24"/>
                <w:szCs w:val="24"/>
              </w:rPr>
            </w:r>
            <w:r>
              <w:rPr>
                <w:b w:val="0"/>
                <w:i w:val="0"/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ind w:left="2" w:right="0" w:hanging="2"/>
              <w:jc w:val="both"/>
              <w:keepLines/>
              <w:keepNext/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структурное подразделение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ind w:left="2" w:right="0" w:hanging="2"/>
              <w:jc w:val="both"/>
              <w:keepLines/>
              <w:keepNext/>
              <w:rPr>
                <w:b w:val="0"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ТТ</w:t>
            </w:r>
            <w:r>
              <w:rPr>
                <w:b w:val="0"/>
                <w:iCs/>
                <w:sz w:val="24"/>
                <w:szCs w:val="24"/>
              </w:rPr>
            </w:r>
            <w:r>
              <w:rPr>
                <w:b w:val="0"/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ind w:left="2" w:right="0" w:hanging="2"/>
              <w:jc w:val="both"/>
              <w:keepLines/>
              <w:keepNext/>
              <w:rPr>
                <w:b w:val="0"/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технические требования</w:t>
            </w:r>
            <w:r>
              <w:rPr>
                <w:rStyle w:val="1035"/>
                <w:bCs/>
                <w:iCs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iCs/>
                <w:sz w:val="24"/>
                <w:szCs w:val="24"/>
              </w:rPr>
            </w:r>
            <w:r>
              <w:rPr>
                <w:b w:val="0"/>
                <w:bCs/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ind w:left="2" w:right="0" w:hanging="2"/>
              <w:jc w:val="both"/>
              <w:keepLines/>
              <w:keepNext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СИЗ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ind w:left="2" w:right="0" w:hanging="2"/>
              <w:jc w:val="both"/>
              <w:keepLines/>
              <w:keepNext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средства индивидуальной защиты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ind w:left="2" w:right="0" w:hanging="2"/>
              <w:jc w:val="both"/>
              <w:keepLines/>
              <w:keepNext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ОПЗ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ind w:left="2" w:right="0" w:hanging="2"/>
              <w:jc w:val="both"/>
              <w:keepLines/>
              <w:keepNext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общие производственные загрязнения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ind w:left="2" w:right="0" w:hanging="2"/>
              <w:jc w:val="both"/>
              <w:keepLines/>
              <w:keepNext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ПП РФ № 719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ind w:left="2" w:right="0" w:hanging="2"/>
              <w:jc w:val="both"/>
              <w:keepLines/>
              <w:keepNext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Постановление Правительства Российской Федерации от 17 июля 2015 г. N 719 "О подтверждении производства российской промышленной продукции"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ind w:left="2" w:right="0" w:hanging="2"/>
              <w:jc w:val="both"/>
              <w:keepLines/>
              <w:keepNext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ПП РФ № 1875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ind w:left="2" w:right="0" w:hanging="2"/>
              <w:jc w:val="both"/>
              <w:keepLines/>
              <w:keepNext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Постановление Правительства Российск</w:t>
            </w:r>
            <w:r>
              <w:rPr>
                <w:sz w:val="24"/>
                <w:szCs w:val="24"/>
              </w:rPr>
              <w:t xml:space="preserve">ой Федерации от 23 декабря 2024 г. N 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9"/>
        <w:numPr>
          <w:ilvl w:val="1"/>
          <w:numId w:val="10"/>
        </w:numPr>
        <w:rPr>
          <w:sz w:val="24"/>
          <w:szCs w:val="24"/>
        </w:rPr>
      </w:pPr>
      <w:r/>
      <w:bookmarkStart w:id="19" w:name="_Toc50125129"/>
      <w:r>
        <w:rPr>
          <w:sz w:val="24"/>
          <w:szCs w:val="24"/>
        </w:rPr>
        <w:t xml:space="preserve">Наименование </w:t>
      </w:r>
      <w:r>
        <w:rPr>
          <w:sz w:val="24"/>
          <w:szCs w:val="24"/>
        </w:rPr>
        <w:t xml:space="preserve">закупаемой продукции</w:t>
      </w:r>
      <w:r>
        <w:rPr>
          <w:sz w:val="24"/>
          <w:szCs w:val="24"/>
        </w:rPr>
        <w:t xml:space="preserve"> </w:t>
      </w:r>
      <w:bookmarkEnd w:id="1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rPr>
          <w:sz w:val="24"/>
          <w:szCs w:val="24"/>
          <w14:ligatures w14:val="none"/>
        </w:rPr>
      </w:pPr>
      <w:r>
        <w:rPr>
          <w:sz w:val="24"/>
          <w:szCs w:val="24"/>
        </w:rPr>
      </w:r>
      <w:r>
        <w:rPr>
          <w:rFonts w:eastAsia="Calibri"/>
          <w:sz w:val="24"/>
          <w:szCs w:val="24"/>
        </w:rPr>
        <w:t xml:space="preserve">ОКДП2 14.1. Поставка спецодежды и обуви для подразделений АО ДГК</w:t>
      </w:r>
      <w:r>
        <w:rPr>
          <w:sz w:val="24"/>
          <w:szCs w:val="24"/>
          <w14:ligatures w14:val="none"/>
        </w:rPr>
        <w:t xml:space="preserve">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939"/>
        <w:numPr>
          <w:ilvl w:val="1"/>
          <w:numId w:val="10"/>
        </w:numPr>
        <w:rPr>
          <w:sz w:val="24"/>
          <w:szCs w:val="24"/>
        </w:rPr>
      </w:pPr>
      <w:r/>
      <w:bookmarkStart w:id="20" w:name="_Toc50125130"/>
      <w:r>
        <w:rPr>
          <w:sz w:val="24"/>
          <w:szCs w:val="24"/>
        </w:rPr>
        <w:t xml:space="preserve">Цель </w:t>
      </w:r>
      <w:r>
        <w:rPr>
          <w:sz w:val="24"/>
          <w:szCs w:val="24"/>
        </w:rPr>
        <w:t xml:space="preserve">использования закупаемой продукции </w:t>
      </w:r>
      <w:r>
        <w:rPr>
          <w:sz w:val="24"/>
          <w:szCs w:val="24"/>
        </w:rPr>
      </w:r>
      <w:bookmarkEnd w:id="2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спользование в соответствии с требованиями охраны труда.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8"/>
        <w:numPr>
          <w:ilvl w:val="0"/>
          <w:numId w:val="15"/>
        </w:numPr>
        <w:rPr>
          <w:sz w:val="24"/>
          <w:szCs w:val="24"/>
        </w:rPr>
      </w:pPr>
      <w:r/>
      <w:bookmarkStart w:id="24" w:name="_Toc50125134"/>
      <w:r>
        <w:rPr>
          <w:sz w:val="24"/>
          <w:szCs w:val="24"/>
        </w:rPr>
        <w:t xml:space="preserve">Требования к продукции</w:t>
      </w:r>
      <w:r>
        <w:rPr>
          <w:sz w:val="24"/>
          <w:szCs w:val="24"/>
        </w:rPr>
      </w:r>
      <w:bookmarkEnd w:id="2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9"/>
        <w:numPr>
          <w:ilvl w:val="1"/>
          <w:numId w:val="15"/>
        </w:numPr>
        <w:ind w:left="283" w:right="0" w:firstLine="0"/>
        <w:rPr>
          <w:sz w:val="24"/>
          <w:szCs w:val="24"/>
        </w:rPr>
      </w:pPr>
      <w:r>
        <w:rPr>
          <w:sz w:val="24"/>
          <w:szCs w:val="24"/>
        </w:rPr>
      </w:r>
      <w:r>
        <w:t xml:space="preserve">П</w:t>
      </w:r>
      <w:r>
        <w:t xml:space="preserve">еречень и объем закупаемой продукции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120"/>
        <w:rPr>
          <w:bCs/>
        </w:rPr>
      </w:pPr>
      <w:r>
        <w:rPr>
          <w:b/>
          <w:bCs/>
          <w:sz w:val="24"/>
          <w:szCs w:val="24"/>
        </w:rPr>
        <w:t xml:space="preserve">Таблица 1. Перечень и объем закупаемой продукции </w:t>
      </w:r>
      <w:r>
        <w:rPr>
          <w:bCs/>
        </w:rPr>
      </w:r>
      <w:r>
        <w:rPr>
          <w:bCs/>
        </w:rPr>
      </w:r>
    </w:p>
    <w:tbl>
      <w:tblPr>
        <w:tblW w:w="981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994"/>
        <w:gridCol w:w="5005"/>
        <w:gridCol w:w="1822"/>
        <w:gridCol w:w="1990"/>
      </w:tblGrid>
      <w:tr>
        <w:tblPrEx/>
        <w:trPr/>
        <w:tc>
          <w:tcPr>
            <w:tcW w:w="994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005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2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90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94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500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22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90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994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1.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5005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  <w:t xml:space="preserve">Спецодежда и обувь для подразделений АО ДГК</w:t>
            </w:r>
            <w:r>
              <w:rPr>
                <w:i/>
                <w:iCs/>
                <w:sz w:val="24"/>
                <w:szCs w:val="24"/>
              </w:rPr>
              <w:t xml:space="preserve">»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gridSpan w:val="2"/>
            <w:tcW w:w="3812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В соответствии с приложением №</w:t>
            </w:r>
            <w:r>
              <w:rPr>
                <w:i/>
                <w:iCs/>
                <w:sz w:val="24"/>
                <w:szCs w:val="24"/>
              </w:rPr>
              <w:t xml:space="preserve">1</w:t>
            </w:r>
            <w:r>
              <w:rPr>
                <w:i/>
                <w:iCs/>
                <w:sz w:val="24"/>
                <w:szCs w:val="24"/>
              </w:rPr>
              <w:t xml:space="preserve"> к настоящим </w:t>
            </w:r>
            <w:r>
              <w:rPr>
                <w:i/>
                <w:iCs/>
                <w:sz w:val="24"/>
                <w:szCs w:val="24"/>
              </w:rPr>
              <w:t xml:space="preserve">ТТ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</w:tbl>
    <w:p>
      <w:pPr>
        <w:ind w:firstLine="709"/>
        <w:jc w:val="both"/>
        <w:spacing w:line="276" w:lineRule="auto"/>
        <w:widowControl w:val="off"/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9"/>
        <w:numPr>
          <w:ilvl w:val="1"/>
          <w:numId w:val="15"/>
        </w:numPr>
        <w:rPr>
          <w:sz w:val="24"/>
          <w:szCs w:val="24"/>
          <w:highlight w:val="none"/>
          <w14:ligatures w14:val="none"/>
        </w:rPr>
      </w:pPr>
      <w:r/>
      <w:bookmarkStart w:id="29" w:name="_Toc50125139"/>
      <w:r>
        <w:rPr>
          <w:sz w:val="24"/>
          <w:szCs w:val="24"/>
          <w:highlight w:val="none"/>
        </w:rPr>
        <w:t xml:space="preserve">Требования к срокам поставки.</w:t>
      </w:r>
      <w:r>
        <w:rPr>
          <w:sz w:val="24"/>
          <w:szCs w:val="24"/>
          <w:highlight w:val="none"/>
          <w:lang w:eastAsia="ru-RU"/>
          <w14:ligatures w14:val="none"/>
        </w:rPr>
      </w:r>
      <w:bookmarkEnd w:id="29"/>
      <w:r>
        <w:rPr>
          <w:sz w:val="24"/>
          <w:szCs w:val="24"/>
          <w:highlight w:val="none"/>
          <w14:ligatures w14:val="none"/>
        </w:rPr>
      </w:r>
      <w:r>
        <w:rPr>
          <w:sz w:val="24"/>
          <w:szCs w:val="24"/>
          <w:highlight w:val="none"/>
          <w14:ligatures w14:val="none"/>
        </w:rPr>
      </w:r>
    </w:p>
    <w:tbl>
      <w:tblPr>
        <w:tblW w:w="9780" w:type="dxa"/>
        <w:tblInd w:w="1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2268"/>
        <w:gridCol w:w="2264"/>
        <w:gridCol w:w="3122"/>
      </w:tblGrid>
      <w:tr>
        <w:tblPrEx/>
        <w:trPr>
          <w:trHeight w:val="67"/>
        </w:trPr>
        <w:tc>
          <w:tcPr>
            <w:shd w:val="clear" w:color="ffffff" w:fill="ffffff"/>
            <w:tcW w:w="2126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критерия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 xml:space="preserve">продукции / партии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</w:t>
            </w:r>
            <w:r>
              <w:rPr>
                <w:sz w:val="24"/>
                <w:szCs w:val="24"/>
              </w:rPr>
              <w:t xml:space="preserve">поставки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2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</w:t>
            </w:r>
            <w:r>
              <w:rPr>
                <w:sz w:val="24"/>
                <w:szCs w:val="24"/>
              </w:rPr>
              <w:t xml:space="preserve">поставки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14"/>
        </w:trPr>
        <w:tc>
          <w:tcPr>
            <w:shd w:val="clear" w:color="ffffff" w:fill="ffffff"/>
            <w:tcW w:w="212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26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4" w:type="dxa"/>
            <w:textDirection w:val="lrTb"/>
            <w:noWrap w:val="false"/>
          </w:tcPr>
          <w:p>
            <w:pPr>
              <w:pStyle w:val="1033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22" w:type="dxa"/>
            <w:textDirection w:val="lrTb"/>
            <w:noWrap w:val="false"/>
          </w:tcPr>
          <w:p>
            <w:pPr>
              <w:pStyle w:val="1033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831"/>
        </w:trPr>
        <w:tc>
          <w:tcPr>
            <w:shd w:val="clear" w:color="ffffff" w:fill="ffffff"/>
            <w:tcW w:w="2126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действия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r/>
            <w:r/>
          </w:p>
        </w:tc>
        <w:tc>
          <w:tcPr>
            <w:shd w:val="clear" w:color="ffffff" w:fill="ffffff"/>
            <w:tcW w:w="2268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Поз.1-38 таблицы 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4" w:type="dxa"/>
            <w:vMerge w:val="restart"/>
            <w:textDirection w:val="lrTb"/>
            <w:noWrap w:val="false"/>
          </w:tcPr>
          <w:p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 даты подписания договора в течение 2026 года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3122" w:type="dxa"/>
            <w:vMerge w:val="restart"/>
            <w:textDirection w:val="lrTb"/>
            <w:noWrap w:val="false"/>
          </w:tcPr>
          <w:p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До 31.12.2026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trHeight w:val="831"/>
        </w:trPr>
        <w:tc>
          <w:tcPr>
            <w:shd w:val="clear" w:color="ffffff" w:fill="ffffff"/>
            <w:tcW w:w="2126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поставки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26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Поз.1-38 таблицы 1 </w:t>
            </w:r>
            <w:r>
              <w:rPr>
                <w:sz w:val="24"/>
                <w:szCs w:val="24"/>
              </w:rPr>
              <w:t xml:space="preserve">по заявкам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рамках срока действия договора в течение 2026 года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4" w:type="dxa"/>
            <w:textDirection w:val="lrTb"/>
            <w:noWrap w:val="false"/>
          </w:tcPr>
          <w:p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 даты направления заявки поставщику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312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Не позднее 6</w:t>
            </w:r>
            <w:r>
              <w:rPr>
                <w:iCs/>
                <w:sz w:val="24"/>
                <w:szCs w:val="24"/>
              </w:rPr>
              <w:t xml:space="preserve">0 дней с даты направления заявки поставщику</w:t>
            </w:r>
            <w:r>
              <w:rPr>
                <w:iCs/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939"/>
        <w:numPr>
          <w:ilvl w:val="1"/>
          <w:numId w:val="15"/>
        </w:numPr>
        <w:rPr>
          <w:sz w:val="24"/>
          <w:szCs w:val="24"/>
          <w:highlight w:val="none"/>
          <w14:ligatures w14:val="none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560" w:right="851" w:bottom="992" w:left="1134" w:header="709" w:footer="709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  <w:highlight w:val="none"/>
          <w14:ligatures w14:val="none"/>
        </w:rPr>
      </w:r>
      <w:r>
        <w:rPr>
          <w:sz w:val="24"/>
          <w:szCs w:val="24"/>
          <w:highlight w:val="none"/>
          <w14:ligatures w14:val="none"/>
        </w:rPr>
      </w:r>
      <w:r>
        <w:rPr>
          <w:sz w:val="24"/>
          <w:szCs w:val="24"/>
          <w:highlight w:val="none"/>
          <w14:ligatures w14:val="none"/>
        </w:rPr>
      </w:r>
    </w:p>
    <w:p>
      <w:pPr>
        <w:pStyle w:val="939"/>
        <w:numPr>
          <w:ilvl w:val="1"/>
          <w:numId w:val="15"/>
        </w:numPr>
        <w:rPr>
          <w14:ligatures w14:val="none"/>
        </w:rPr>
      </w:pPr>
      <w:r>
        <w:rPr>
          <w:sz w:val="24"/>
          <w:szCs w:val="24"/>
          <w:highlight w:val="none"/>
          <w14:ligatures w14:val="none"/>
        </w:rPr>
      </w:r>
      <w:bookmarkStart w:id="28" w:name="_Toc50125138"/>
      <w:r>
        <w:rPr>
          <w:sz w:val="24"/>
          <w:szCs w:val="24"/>
        </w:rPr>
        <w:t xml:space="preserve">Требования к качеству продукции</w:t>
      </w:r>
      <w:r>
        <w:rPr>
          <w:sz w:val="24"/>
          <w:szCs w:val="24"/>
          <w:highlight w:val="none"/>
        </w:rPr>
        <w:t xml:space="preserve">.</w:t>
      </w:r>
      <w:bookmarkEnd w:id="28"/>
      <w:r>
        <w:rPr>
          <w14:ligatures w14:val="none"/>
        </w:rPr>
      </w:r>
      <w:r>
        <w:rPr>
          <w14:ligatures w14:val="none"/>
        </w:rPr>
      </w:r>
    </w:p>
    <w:p>
      <w:pPr>
        <w:pStyle w:val="1004"/>
        <w:rPr>
          <w:b/>
          <w:bCs/>
        </w:rPr>
      </w:pPr>
      <w:r/>
      <w:bookmarkStart w:id="0" w:name="undefined"/>
      <w:r/>
      <w:bookmarkEnd w:id="0"/>
      <w:r>
        <w:rPr>
          <w:b/>
          <w:bCs/>
        </w:rPr>
        <w:t xml:space="preserve">Таблица 3. Требования к продукции</w:t>
      </w:r>
      <w:r>
        <w:rPr>
          <w:b/>
          <w:bCs/>
        </w:rPr>
      </w:r>
      <w:r>
        <w:rPr>
          <w:b/>
          <w:bCs/>
        </w:rPr>
      </w:r>
    </w:p>
    <w:tbl>
      <w:tblPr>
        <w:tblW w:w="5021" w:type="pct"/>
        <w:tblInd w:w="55" w:type="dxa"/>
        <w:tblLayout w:type="fixed"/>
        <w:tblCellMar>
          <w:left w:w="55" w:type="dxa"/>
          <w:top w:w="55" w:type="dxa"/>
          <w:right w:w="55" w:type="dxa"/>
          <w:bottom w:w="55" w:type="dxa"/>
        </w:tblCellMar>
        <w:tblLook w:val="04A0" w:firstRow="1" w:lastRow="0" w:firstColumn="1" w:lastColumn="0" w:noHBand="0" w:noVBand="1"/>
      </w:tblPr>
      <w:tblGrid>
        <w:gridCol w:w="782"/>
        <w:gridCol w:w="3273"/>
        <w:gridCol w:w="2450"/>
        <w:gridCol w:w="2558"/>
        <w:gridCol w:w="2894"/>
        <w:gridCol w:w="2389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82" w:type="dxa"/>
            <w:vAlign w:val="center"/>
            <w:vMerge w:val="restart"/>
            <w:textDirection w:val="lrTb"/>
            <w:noWrap w:val="false"/>
          </w:tcPr>
          <w:p>
            <w:pPr>
              <w:pStyle w:val="1065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 п/п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273" w:type="dxa"/>
            <w:vAlign w:val="center"/>
            <w:vMerge w:val="restart"/>
            <w:textDirection w:val="lrTb"/>
            <w:noWrap w:val="false"/>
          </w:tcPr>
          <w:p>
            <w:pPr>
              <w:pStyle w:val="1065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Наименование параметра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50" w:type="dxa"/>
            <w:vAlign w:val="center"/>
            <w:vMerge w:val="restart"/>
            <w:textDirection w:val="lrTb"/>
            <w:noWrap w:val="false"/>
          </w:tcPr>
          <w:p>
            <w:pPr>
              <w:pStyle w:val="1065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Требование Заказчика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452" w:type="dxa"/>
            <w:vAlign w:val="center"/>
            <w:textDirection w:val="lrTb"/>
            <w:noWrap w:val="false"/>
          </w:tcPr>
          <w:p>
            <w:pPr>
              <w:pStyle w:val="1065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Способ подтверждения участн</w:t>
            </w:r>
            <w:r>
              <w:rPr>
                <w:b/>
                <w:bCs/>
                <w:sz w:val="22"/>
                <w:szCs w:val="22"/>
              </w:rPr>
              <w:t xml:space="preserve">иком соответствия требованиям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9" w:type="dxa"/>
            <w:vAlign w:val="center"/>
            <w:vMerge w:val="restart"/>
            <w:textDirection w:val="lrTb"/>
            <w:noWrap w:val="false"/>
          </w:tcPr>
          <w:p>
            <w:pPr>
              <w:pStyle w:val="1065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82" w:type="dxa"/>
            <w:vMerge w:val="continue"/>
            <w:textDirection w:val="lrTb"/>
            <w:noWrap w:val="false"/>
          </w:tcPr>
          <w:p>
            <w:pPr>
              <w:pStyle w:val="106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273" w:type="dxa"/>
            <w:vMerge w:val="continue"/>
            <w:textDirection w:val="lrTb"/>
            <w:noWrap w:val="false"/>
          </w:tcPr>
          <w:p>
            <w:pPr>
              <w:pStyle w:val="106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50" w:type="dxa"/>
            <w:vMerge w:val="continue"/>
            <w:textDirection w:val="lrTb"/>
            <w:noWrap w:val="false"/>
          </w:tcPr>
          <w:p>
            <w:pPr>
              <w:pStyle w:val="106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558" w:type="dxa"/>
            <w:vAlign w:val="center"/>
            <w:textDirection w:val="lrTb"/>
            <w:noWrap w:val="false"/>
          </w:tcPr>
          <w:p>
            <w:pPr>
              <w:pStyle w:val="1065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Согласие с требованием / указание характеристик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894" w:type="dxa"/>
            <w:vAlign w:val="center"/>
            <w:textDirection w:val="lrTb"/>
            <w:noWrap w:val="false"/>
          </w:tcPr>
          <w:p>
            <w:pPr>
              <w:pStyle w:val="1065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9" w:type="dxa"/>
            <w:vMerge w:val="continue"/>
            <w:textDirection w:val="lrTb"/>
            <w:noWrap w:val="false"/>
          </w:tcPr>
          <w:p>
            <w:pPr>
              <w:pStyle w:val="106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782" w:type="dxa"/>
            <w:textDirection w:val="lrTb"/>
            <w:noWrap w:val="false"/>
          </w:tcPr>
          <w:p>
            <w:pPr>
              <w:pStyle w:val="106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3273" w:type="dxa"/>
            <w:textDirection w:val="lrTb"/>
            <w:noWrap w:val="false"/>
          </w:tcPr>
          <w:p>
            <w:pPr>
              <w:pStyle w:val="106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450" w:type="dxa"/>
            <w:textDirection w:val="lrTb"/>
            <w:noWrap w:val="false"/>
          </w:tcPr>
          <w:p>
            <w:pPr>
              <w:pStyle w:val="106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558" w:type="dxa"/>
            <w:textDirection w:val="lrTb"/>
            <w:noWrap w:val="false"/>
          </w:tcPr>
          <w:p>
            <w:pPr>
              <w:pStyle w:val="106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894" w:type="dxa"/>
            <w:textDirection w:val="lrTb"/>
            <w:noWrap w:val="false"/>
          </w:tcPr>
          <w:p>
            <w:pPr>
              <w:pStyle w:val="106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9" w:type="dxa"/>
            <w:textDirection w:val="lrTb"/>
            <w:noWrap w:val="false"/>
          </w:tcPr>
          <w:p>
            <w:pPr>
              <w:pStyle w:val="106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782" w:type="dxa"/>
            <w:textDirection w:val="lrTb"/>
            <w:noWrap w:val="false"/>
          </w:tcPr>
          <w:p>
            <w:pPr>
              <w:pStyle w:val="1065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5724" w:type="dxa"/>
            <w:textDirection w:val="lrTb"/>
            <w:noWrap w:val="false"/>
          </w:tcPr>
          <w:p>
            <w:pPr>
              <w:pStyle w:val="96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Требования к техническим и </w:t>
            </w:r>
            <w:r>
              <w:rPr>
                <w:b/>
                <w:bCs/>
                <w:sz w:val="22"/>
                <w:szCs w:val="22"/>
              </w:rPr>
              <w:t xml:space="preserve">функциональным характеристикам (включая гарантируемые показатели)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55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rFonts w:cstheme="majorBidi"/>
                <w:i/>
                <w:iCs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89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rFonts w:cstheme="majorBidi"/>
                <w:i/>
                <w:iCs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9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rFonts w:cstheme="majorBidi"/>
                <w:i/>
                <w:iCs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782" w:type="dxa"/>
            <w:textDirection w:val="lrTb"/>
            <w:noWrap w:val="false"/>
          </w:tcPr>
          <w:p>
            <w:pPr>
              <w:pStyle w:val="106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5724" w:type="dxa"/>
            <w:textDirection w:val="lrTb"/>
            <w:noWrap w:val="false"/>
          </w:tcPr>
          <w:p>
            <w:pPr>
              <w:pStyle w:val="963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Требования к техническим и функциональным характеристикам в отношении каждой позиции продукции представлены в Таблице 3.1 (Приложение № 1 к ТТ)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558" w:type="dxa"/>
            <w:textDirection w:val="lrTb"/>
            <w:noWrap w:val="false"/>
          </w:tcPr>
          <w:p>
            <w:pPr>
              <w:pStyle w:val="1065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Указание характеристик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894" w:type="dxa"/>
            <w:textDirection w:val="lrTb"/>
            <w:noWrap w:val="false"/>
          </w:tcPr>
          <w:p>
            <w:pPr>
              <w:pStyle w:val="963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В </w:t>
            </w:r>
            <w:r>
              <w:rPr>
                <w:rFonts w:eastAsia="Calibri"/>
                <w:i/>
                <w:iCs/>
                <w:sz w:val="22"/>
                <w:szCs w:val="22"/>
              </w:rPr>
              <w:t xml:space="preserve">составе заявки в первой части необходимо представить заполненную Таблицу с указанием технических характеристик по форме Таблицы 3.1 (столбец 8 «Предложение участника по характеристикам и параметрам» (Приложение № 1 к настоящим ТТ</w:t>
            </w:r>
            <w:r>
              <w:rPr>
                <w:rFonts w:eastAsia="Calibri"/>
                <w:i/>
                <w:iCs/>
                <w:sz w:val="22"/>
                <w:szCs w:val="22"/>
              </w:rPr>
              <w:t xml:space="preserve">)</w:t>
            </w:r>
            <w:r>
              <w:rPr>
                <w:rFonts w:eastAsia="Calibri"/>
                <w:i/>
                <w:iCs/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9" w:type="dxa"/>
            <w:textDirection w:val="lrTb"/>
            <w:noWrap w:val="false"/>
          </w:tcPr>
          <w:p>
            <w:pPr>
              <w:pStyle w:val="106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67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782" w:type="dxa"/>
            <w:textDirection w:val="lrTb"/>
            <w:noWrap w:val="false"/>
          </w:tcPr>
          <w:p>
            <w:pPr>
              <w:pStyle w:val="1065"/>
              <w:rPr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 xml:space="preserve">2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5724" w:type="dxa"/>
            <w:textDirection w:val="lrTb"/>
            <w:noWrap w:val="false"/>
          </w:tcPr>
          <w:p>
            <w:pPr>
              <w:pStyle w:val="963"/>
              <w:numPr>
                <w:ilvl w:val="1"/>
                <w:numId w:val="0"/>
              </w:numPr>
              <w:rPr>
                <w:b/>
                <w:bCs/>
                <w:sz w:val="22"/>
                <w:szCs w:val="22"/>
              </w:rPr>
            </w:pPr>
            <w:r/>
            <w:bookmarkStart w:id="0" w:name="undefined"/>
            <w:r/>
            <w:bookmarkEnd w:id="0"/>
            <w:r>
              <w:rPr>
                <w:b/>
                <w:bCs/>
                <w:sz w:val="22"/>
                <w:szCs w:val="22"/>
              </w:rPr>
              <w:t xml:space="preserve">Требования к конструкции моделей, ра</w:t>
            </w:r>
            <w:r>
              <w:rPr>
                <w:b/>
                <w:bCs/>
                <w:sz w:val="22"/>
                <w:szCs w:val="22"/>
              </w:rPr>
              <w:t xml:space="preserve">змерам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55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89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9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rFonts w:cstheme="majorBidi"/>
                <w:i/>
                <w:iCs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782" w:type="dxa"/>
            <w:textDirection w:val="lrTb"/>
            <w:noWrap w:val="false"/>
          </w:tcPr>
          <w:p>
            <w:pPr>
              <w:pStyle w:val="106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5724" w:type="dxa"/>
            <w:textDirection w:val="lrTb"/>
            <w:noWrap w:val="false"/>
          </w:tcPr>
          <w:p>
            <w:pPr>
              <w:pStyle w:val="963"/>
              <w:numPr>
                <w:ilvl w:val="1"/>
                <w:numId w:val="0"/>
              </w:numPr>
              <w:rPr>
                <w:i/>
                <w:iCs/>
                <w:sz w:val="22"/>
                <w:szCs w:val="22"/>
              </w:rPr>
            </w:pPr>
            <w:r/>
            <w:bookmarkStart w:id="0" w:name="undefined"/>
            <w:r/>
            <w:bookmarkEnd w:id="0"/>
            <w:r>
              <w:rPr>
                <w:i/>
                <w:iCs/>
                <w:sz w:val="22"/>
                <w:szCs w:val="22"/>
              </w:rPr>
              <w:t xml:space="preserve">Требования к конструкции моделей, размерам, корпоративному стилю в отношении продукции представлены в Приложении № 2 к ТТ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558" w:type="dxa"/>
            <w:textDirection w:val="lrTb"/>
            <w:noWrap w:val="false"/>
          </w:tcPr>
          <w:p>
            <w:pPr>
              <w:pStyle w:val="1065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Согласие с требованием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894" w:type="dxa"/>
            <w:textDirection w:val="lrTb"/>
            <w:noWrap w:val="false"/>
          </w:tcPr>
          <w:p>
            <w:pPr>
              <w:pStyle w:val="963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В составе заявки в первой части необходимо представить техническое описание, которое должно содержать: наименование, </w:t>
            </w:r>
            <w:r>
              <w:rPr>
                <w:rFonts w:eastAsia="Calibri"/>
                <w:i/>
                <w:iCs/>
                <w:sz w:val="22"/>
                <w:szCs w:val="22"/>
              </w:rPr>
              <w:t xml:space="preserve">характеристики, описание внешнего вида предлагаемых моделей спецодежды и спецобуви (рисунки либо фотографии образцов продукции)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9" w:type="dxa"/>
            <w:textDirection w:val="lrTb"/>
            <w:noWrap w:val="false"/>
          </w:tcPr>
          <w:p>
            <w:pPr>
              <w:pStyle w:val="106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782" w:type="dxa"/>
            <w:textDirection w:val="lrTb"/>
            <w:noWrap w:val="false"/>
          </w:tcPr>
          <w:p>
            <w:pPr>
              <w:pStyle w:val="1065"/>
              <w:rPr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5724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 xml:space="preserve">Требования к доставке, маркировке, </w:t>
            </w:r>
            <w:r>
              <w:rPr>
                <w:rFonts w:eastAsia="Calibri"/>
                <w:b/>
                <w:bCs/>
                <w:sz w:val="22"/>
                <w:szCs w:val="22"/>
              </w:rPr>
              <w:t xml:space="preserve">упаковке, транспортировке,  перемещению, условиям хранения, приемке и испытаниям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55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rFonts w:cstheme="majorBidi"/>
                <w:i/>
                <w:iCs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89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rFonts w:cstheme="majorBidi"/>
                <w:i/>
                <w:iCs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9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rFonts w:cstheme="majorBidi"/>
                <w:i/>
                <w:iCs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782" w:type="dxa"/>
            <w:textDirection w:val="lrTb"/>
            <w:noWrap w:val="false"/>
          </w:tcPr>
          <w:p>
            <w:pPr>
              <w:pStyle w:val="106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5724" w:type="dxa"/>
            <w:textDirection w:val="lrTb"/>
            <w:noWrap w:val="false"/>
          </w:tcPr>
          <w:p>
            <w:pPr>
              <w:jc w:val="both"/>
              <w:spacing w:line="276" w:lineRule="auto"/>
              <w:widowControl w:val="off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lang w:eastAsia="ru-RU"/>
              </w:rPr>
              <w:t xml:space="preserve">Поставка производится согласно заявкам покупателя (грузополучателя) на склады грузополучателей по адресам: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63"/>
              <w:numPr>
                <w:ilvl w:val="0"/>
                <w:numId w:val="47"/>
              </w:numPr>
              <w:ind w:left="0" w:firstLine="0"/>
              <w:jc w:val="both"/>
              <w:spacing w:line="276" w:lineRule="auto"/>
              <w:widowControl w:val="off"/>
              <w:tabs>
                <w:tab w:val="left" w:pos="709" w:leader="none"/>
              </w:tabs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АО «ДГК» СП Комсомольские тепловые сети. 681013,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г. Комсомольск/Амуре, ул. Пендрие, 6. ИНН/ КПП 1434031363/ 270345002;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63"/>
              <w:numPr>
                <w:ilvl w:val="0"/>
                <w:numId w:val="47"/>
              </w:numPr>
              <w:ind w:left="0" w:firstLine="0"/>
              <w:jc w:val="both"/>
              <w:spacing w:line="276" w:lineRule="auto"/>
              <w:widowControl w:val="off"/>
              <w:tabs>
                <w:tab w:val="left" w:pos="709" w:leader="none"/>
              </w:tabs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АО «ДГК» СП Хабаровские тепловые сети. 680023, г. Хабаровск, ул. Флегонтова, 13А. ИНН/КПП1434031363/ 272145005;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63"/>
              <w:numPr>
                <w:ilvl w:val="0"/>
                <w:numId w:val="47"/>
              </w:numPr>
              <w:ind w:left="0" w:firstLine="0"/>
              <w:jc w:val="both"/>
              <w:spacing w:line="276" w:lineRule="auto"/>
              <w:widowControl w:val="off"/>
              <w:tabs>
                <w:tab w:val="left" w:pos="709" w:leader="none"/>
              </w:tabs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АО «ДГК» СП Нерюнгринская ГРЭС. 678955, респ.САХА (Якутия), г.Нерюнгри, п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гт Серебряный Бор. ИНН/ КПП 1434031363/ 143445001;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63"/>
              <w:numPr>
                <w:ilvl w:val="0"/>
                <w:numId w:val="47"/>
              </w:numPr>
              <w:ind w:left="0" w:firstLine="0"/>
              <w:jc w:val="both"/>
              <w:spacing w:line="276" w:lineRule="auto"/>
              <w:widowControl w:val="off"/>
              <w:tabs>
                <w:tab w:val="left" w:pos="709" w:leader="none"/>
              </w:tabs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АО «ДГК» СП Благовещенская ТЭЦ. 675007, г.Благовещенск, ул. Загородная, 177, ИНН/ КПП 1434031363/ 280102001;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63"/>
              <w:numPr>
                <w:ilvl w:val="0"/>
                <w:numId w:val="47"/>
              </w:numPr>
              <w:ind w:left="0" w:firstLine="0"/>
              <w:jc w:val="both"/>
              <w:spacing w:line="276" w:lineRule="auto"/>
              <w:widowControl w:val="off"/>
              <w:tabs>
                <w:tab w:val="left" w:pos="709" w:leader="none"/>
              </w:tabs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АО «ДГК» СП Райчихинская ГРЭС. 676791, Амурская обл., пгт.Прогресс, ул.Бурейская,1. ИНН/ КПП 143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4031363/ 280632001;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63"/>
              <w:numPr>
                <w:ilvl w:val="0"/>
                <w:numId w:val="47"/>
              </w:numPr>
              <w:ind w:left="0" w:firstLine="0"/>
              <w:jc w:val="both"/>
              <w:spacing w:line="276" w:lineRule="auto"/>
              <w:widowControl w:val="off"/>
              <w:tabs>
                <w:tab w:val="left" w:pos="709" w:leader="none"/>
              </w:tabs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АО «ДГК» СП Артемовская ТЭЦ. 692775, Россия, Приморский край, г. Артем, ул. Каширская, 23. ИНН/ КПП 1434031363/ 250232001;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63"/>
              <w:numPr>
                <w:ilvl w:val="0"/>
                <w:numId w:val="47"/>
              </w:numPr>
              <w:ind w:left="0" w:firstLine="0"/>
              <w:jc w:val="both"/>
              <w:spacing w:line="276" w:lineRule="auto"/>
              <w:widowControl w:val="off"/>
              <w:tabs>
                <w:tab w:val="left" w:pos="709" w:leader="none"/>
              </w:tabs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АО «ДГК» СП Владивостокская ТЭЦ-2.  690034, г.Владивосток, ул.Фадеева, 47а, ИНН/ КПП 1434031363/ 253602001;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63"/>
              <w:numPr>
                <w:ilvl w:val="0"/>
                <w:numId w:val="47"/>
              </w:numPr>
              <w:ind w:left="0" w:firstLine="0"/>
              <w:jc w:val="both"/>
              <w:spacing w:line="276" w:lineRule="auto"/>
              <w:widowControl w:val="off"/>
              <w:tabs>
                <w:tab w:val="left" w:pos="709" w:leader="none"/>
              </w:tabs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АО «Д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ГК» СП Партизанская ГРЭС. 692860, Россия, Приморский край, г. Партизанск, ул. Свердлова, 2. ИНН/ КПП 1434031363/ 250932001;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63"/>
              <w:numPr>
                <w:ilvl w:val="0"/>
                <w:numId w:val="47"/>
              </w:numPr>
              <w:ind w:left="0" w:firstLine="0"/>
              <w:jc w:val="both"/>
              <w:spacing w:line="276" w:lineRule="auto"/>
              <w:widowControl w:val="off"/>
              <w:tabs>
                <w:tab w:val="left" w:pos="709" w:leader="none"/>
              </w:tabs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АО «ДГК» СП Приморские тепловые сети. 690091, Россия, Приморский край, г. Владивосток, ул. Западная, 29. ИНН/ КПП 1434031363/ 253645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001;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63"/>
              <w:numPr>
                <w:ilvl w:val="0"/>
                <w:numId w:val="47"/>
              </w:numPr>
              <w:ind w:left="0" w:firstLine="0"/>
              <w:jc w:val="both"/>
              <w:spacing w:line="276" w:lineRule="auto"/>
              <w:widowControl w:val="off"/>
              <w:tabs>
                <w:tab w:val="left" w:pos="709" w:leader="none"/>
              </w:tabs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АО «ДГК» СП ТЭЦ "Восточная". 690074, Россия, Приморский край, город Владивосток, улица Снеговая, 22. ИНН/ КПП 1434031363/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254345001;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63"/>
              <w:numPr>
                <w:ilvl w:val="0"/>
                <w:numId w:val="47"/>
              </w:numPr>
              <w:ind w:left="0" w:firstLine="0"/>
              <w:jc w:val="both"/>
              <w:spacing w:line="276" w:lineRule="auto"/>
              <w:widowControl w:val="off"/>
              <w:tabs>
                <w:tab w:val="left" w:pos="709" w:leader="none"/>
              </w:tabs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АО «ДГК» СП Амурская ТЭЦ-1.  682640, Россия, Хабаровский край, г.Амурск, ул. Западное шоссе, д.10. ИНН/ КПП 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1434031363/ 270632001;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63"/>
              <w:numPr>
                <w:ilvl w:val="0"/>
                <w:numId w:val="47"/>
              </w:numPr>
              <w:ind w:left="0" w:firstLine="0"/>
              <w:jc w:val="both"/>
              <w:spacing w:line="276" w:lineRule="auto"/>
              <w:widowControl w:val="off"/>
              <w:tabs>
                <w:tab w:val="left" w:pos="709" w:leader="none"/>
              </w:tabs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АО «ДГК» СП Биробиджанская ТЭЦ. 679016, Россия, Еврейская автономная область, г. Биробиджан, ул. Шолом-Алейхема, 60. ИНН/ КПП 1434031363/ 790145002;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63"/>
              <w:numPr>
                <w:ilvl w:val="0"/>
                <w:numId w:val="47"/>
              </w:numPr>
              <w:ind w:left="0" w:firstLine="0"/>
              <w:jc w:val="both"/>
              <w:spacing w:line="276" w:lineRule="auto"/>
              <w:widowControl w:val="off"/>
              <w:tabs>
                <w:tab w:val="left" w:pos="709" w:leader="none"/>
              </w:tabs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АО «ДГК» СП Комсомольская ТЭЦ-2.  681000, Россия, Хабаровский край, г. Комсомольск-н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а-Амуре, ул. Аллея Труда, 1, корп. 3. ИНН/КПП 1434031363/270345001;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63"/>
              <w:numPr>
                <w:ilvl w:val="0"/>
                <w:numId w:val="47"/>
              </w:numPr>
              <w:ind w:left="0" w:firstLine="0"/>
              <w:jc w:val="both"/>
              <w:spacing w:line="276" w:lineRule="auto"/>
              <w:widowControl w:val="off"/>
              <w:tabs>
                <w:tab w:val="left" w:pos="709" w:leader="none"/>
              </w:tabs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АО «ДГК» СП Комсомольская ТЭЦ-3. 681034, Россия, г. Комсомольск-на-Амуре, Хабаровский край, Северное шоссе,151. ИНН/КПП 1434031363/270332003;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63"/>
              <w:numPr>
                <w:ilvl w:val="0"/>
                <w:numId w:val="47"/>
              </w:numPr>
              <w:ind w:left="0" w:firstLine="0"/>
              <w:jc w:val="both"/>
              <w:spacing w:line="276" w:lineRule="auto"/>
              <w:widowControl w:val="off"/>
              <w:tabs>
                <w:tab w:val="left" w:pos="709" w:leader="none"/>
              </w:tabs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АО «ДГК» СП Майская ГРЭС. 682846, Россия, Хаба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ровский край, Советско-Гаванский район, р.п. Майский, ул.Каспийская, 12. ИНН/КПП 1434031363/270432001;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63"/>
              <w:numPr>
                <w:ilvl w:val="0"/>
                <w:numId w:val="47"/>
              </w:numPr>
              <w:ind w:left="0" w:firstLine="0"/>
              <w:jc w:val="both"/>
              <w:spacing w:line="276" w:lineRule="auto"/>
              <w:widowControl w:val="off"/>
              <w:tabs>
                <w:tab w:val="left" w:pos="709" w:leader="none"/>
              </w:tabs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АО «ДГК» СП Хабаровская ТЭЦ-1. 680015, Россия, Хабаровский край, г. Хабаровск, ул. Узловая, 15-а. ИНН/КПП 1434031363/272145001;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63"/>
              <w:numPr>
                <w:ilvl w:val="0"/>
                <w:numId w:val="47"/>
              </w:numPr>
              <w:ind w:left="0" w:firstLine="0"/>
              <w:jc w:val="both"/>
              <w:spacing w:line="276" w:lineRule="auto"/>
              <w:widowControl w:val="off"/>
              <w:tabs>
                <w:tab w:val="left" w:pos="709" w:leader="none"/>
              </w:tabs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АО «ДГК» СП Хабаровская Т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ЭЦ-2. 680026, г. Хабаровск, пер. Сормовский, 1. ИНН/КПП 1434031363/272232001;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63"/>
              <w:numPr>
                <w:ilvl w:val="0"/>
                <w:numId w:val="47"/>
              </w:numPr>
              <w:ind w:left="0" w:firstLine="0"/>
              <w:jc w:val="both"/>
              <w:spacing w:line="276" w:lineRule="auto"/>
              <w:widowControl w:val="off"/>
              <w:tabs>
                <w:tab w:val="left" w:pos="709" w:leader="none"/>
              </w:tabs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АО «ДГК» СП Хабаровская ТЭЦ-3. 680025, г. Хабаровск, шоссе Федоровское, 10. ИНН/КПП1434031363/272145002;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63"/>
              <w:numPr>
                <w:ilvl w:val="0"/>
                <w:numId w:val="47"/>
              </w:numPr>
              <w:ind w:left="0" w:firstLine="0"/>
              <w:jc w:val="both"/>
              <w:spacing w:line="276" w:lineRule="auto"/>
              <w:widowControl w:val="off"/>
              <w:tabs>
                <w:tab w:val="left" w:pos="709" w:leader="none"/>
              </w:tabs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АО «ДГК» ТЭЦ в г. Советская Гавань. 682817, Россия, Хабаровский край, г.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Советская Гавань, ул. Кишиневская, 2. ИНН/КПП 1434031363/270945003;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63"/>
              <w:numPr>
                <w:ilvl w:val="0"/>
                <w:numId w:val="47"/>
              </w:numPr>
              <w:ind w:left="0" w:firstLine="0"/>
              <w:jc w:val="both"/>
              <w:spacing w:line="276" w:lineRule="auto"/>
              <w:widowControl w:val="off"/>
              <w:tabs>
                <w:tab w:val="left" w:pos="709" w:leader="none"/>
              </w:tabs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АО "ДГК" СП Николаевская ТЭЦ. 682469, Хабаровский край, г. Николаевск-на-Амуре, ул. Невельского, 24. ИНН/ КПП  1434031363/ 270532001.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558" w:type="dxa"/>
            <w:textDirection w:val="lrTb"/>
            <w:noWrap w:val="false"/>
          </w:tcPr>
          <w:p>
            <w:pPr>
              <w:pStyle w:val="1065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Согласие с требованием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894" w:type="dxa"/>
            <w:textDirection w:val="lrTb"/>
            <w:noWrap w:val="false"/>
          </w:tcPr>
          <w:p>
            <w:pPr>
              <w:pStyle w:val="106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9" w:type="dxa"/>
            <w:textDirection w:val="lrTb"/>
            <w:noWrap w:val="false"/>
          </w:tcPr>
          <w:p>
            <w:pPr>
              <w:pStyle w:val="106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782" w:type="dxa"/>
            <w:textDirection w:val="lrTb"/>
            <w:noWrap w:val="false"/>
          </w:tcPr>
          <w:p>
            <w:pPr>
              <w:pStyle w:val="106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3273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Требования к маркировке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45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В соответствии с Приложением № 2 к ТТ. Технические требования к конструкции спецодежды п.22.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558" w:type="dxa"/>
            <w:textDirection w:val="lrTb"/>
            <w:noWrap w:val="false"/>
          </w:tcPr>
          <w:p>
            <w:pPr>
              <w:pStyle w:val="1065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Согласие с требованием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894" w:type="dxa"/>
            <w:textDirection w:val="lrTb"/>
            <w:noWrap w:val="false"/>
          </w:tcPr>
          <w:p>
            <w:pPr>
              <w:pStyle w:val="106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9" w:type="dxa"/>
            <w:textDirection w:val="lrTb"/>
            <w:noWrap w:val="false"/>
          </w:tcPr>
          <w:p>
            <w:pPr>
              <w:pStyle w:val="106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782" w:type="dxa"/>
            <w:vMerge w:val="restart"/>
            <w:textDirection w:val="lrTb"/>
            <w:noWrap w:val="false"/>
          </w:tcPr>
          <w:p>
            <w:pPr>
              <w:pStyle w:val="106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327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Прочие (дополнительные) требования к продукции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  <w:p>
            <w:pPr>
              <w:widowControl w:val="off"/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450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558" w:type="dxa"/>
            <w:vMerge w:val="restart"/>
            <w:textDirection w:val="lrTb"/>
            <w:noWrap w:val="false"/>
          </w:tcPr>
          <w:p>
            <w:pPr>
              <w:pStyle w:val="1065"/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894" w:type="dxa"/>
            <w:vMerge w:val="restart"/>
            <w:textDirection w:val="lrTb"/>
            <w:noWrap w:val="false"/>
          </w:tcPr>
          <w:p>
            <w:pPr>
              <w:pStyle w:val="106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9" w:type="dxa"/>
            <w:vMerge w:val="restart"/>
            <w:textDirection w:val="lrTb"/>
            <w:noWrap w:val="false"/>
          </w:tcPr>
          <w:p>
            <w:pPr>
              <w:pStyle w:val="106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782" w:type="dxa"/>
            <w:vMerge w:val="restart"/>
            <w:textDirection w:val="lrTb"/>
            <w:noWrap w:val="false"/>
          </w:tcPr>
          <w:p>
            <w:pPr>
              <w:pStyle w:val="106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3273" w:type="dxa"/>
            <w:vMerge w:val="restart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 поз.1-38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установлен запрет закупок товаров, происходящих из иностранных государств, по перечню согласно приложению N 1 ПП РФ № 1875. </w:t>
            </w:r>
            <w:r/>
          </w:p>
          <w:p>
            <w:pPr>
              <w:jc w:val="left"/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а) Не допускаются:</w:t>
            </w:r>
            <w:r/>
          </w:p>
          <w:p>
            <w:pPr>
              <w:jc w:val="left"/>
              <w:rPr>
                <w:rFonts w:ascii="Times New Roman" w:hAnsi="Times New Roman" w:cs="Times New Roman"/>
                <w:i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заключение договора на поставку такого товара,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  <w:highlight w:val="none"/>
              </w:rPr>
            </w:r>
          </w:p>
          <w:p>
            <w:pPr>
              <w:jc w:val="left"/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      </w:r>
            <w:r/>
          </w:p>
          <w:p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450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left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 поз.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1-38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поставляемая продукция должна быть  быть включена в реестры, а именно: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  <w:p>
            <w:pPr>
              <w:pStyle w:val="1004"/>
              <w:numPr>
                <w:ilvl w:val="0"/>
                <w:numId w:val="48"/>
              </w:numPr>
              <w:ind w:left="0" w:right="0" w:firstLine="0"/>
              <w:jc w:val="left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Реестр российской промышленной продукции, предусмотренные статьей 171 Федерального закона "О промышленной политике в Российской Федерации"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  <w:p>
            <w:pPr>
              <w:pStyle w:val="1004"/>
              <w:numPr>
                <w:ilvl w:val="0"/>
                <w:numId w:val="48"/>
              </w:numPr>
              <w:ind w:left="0" w:right="0" w:firstLine="0"/>
              <w:jc w:val="left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еестр промышленной продукции, произведенной на территории государства - члена Евразийского экономического союза, за исключением Российской Федерации 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  <w:p>
            <w:pPr>
              <w:ind w:left="0" w:right="0" w:firstLine="0"/>
              <w:jc w:val="left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ab/>
              <w:tab/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55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  <w:p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894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Участник должен предоставить в составе заявки  Коммерческое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предложение по поз.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1-38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 форме, установленной документацией о закупке, с указанием в отношении поставляемой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продукции информации: о наименовании реестра(реестров), о номере (номерах) реестровой записи 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9" w:type="dxa"/>
            <w:vMerge w:val="restart"/>
            <w:textDirection w:val="lrTb"/>
            <w:noWrap w:val="false"/>
          </w:tcPr>
          <w:p>
            <w:pPr>
              <w:pStyle w:val="106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782" w:type="dxa"/>
            <w:textDirection w:val="lrTb"/>
            <w:noWrap w:val="false"/>
          </w:tcPr>
          <w:p>
            <w:pPr>
              <w:pStyle w:val="106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4.3.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3273" w:type="dxa"/>
            <w:textDirection w:val="lrTb"/>
            <w:noWrap w:val="false"/>
          </w:tcPr>
          <w:p>
            <w:pPr>
              <w:pStyle w:val="1065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Подтверждение соответствия </w:t>
            </w:r>
            <w:r>
              <w:rPr>
                <w:i/>
                <w:iCs/>
                <w:sz w:val="22"/>
                <w:szCs w:val="22"/>
              </w:rPr>
              <w:t xml:space="preserve">стандартам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450" w:type="dxa"/>
            <w:textDirection w:val="lrTb"/>
            <w:noWrap w:val="false"/>
          </w:tcPr>
          <w:p>
            <w:pPr>
              <w:pStyle w:val="963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Наличие сертификатов / деклараци</w:t>
            </w:r>
            <w:r>
              <w:rPr>
                <w:i/>
                <w:iCs/>
                <w:sz w:val="22"/>
                <w:szCs w:val="22"/>
              </w:rPr>
              <w:t xml:space="preserve">й</w:t>
            </w:r>
            <w:r>
              <w:rPr>
                <w:i/>
                <w:iCs/>
                <w:sz w:val="22"/>
                <w:szCs w:val="22"/>
              </w:rPr>
              <w:t xml:space="preserve"> соответствия, подтверждающие защитные и эксплуатационные свойства по каждой номенклатуре СИЗ согласно Приложению № 1 к настоящим ТТ и требованиям ТР ТС 019/2011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558" w:type="dxa"/>
            <w:textDirection w:val="lrTb"/>
            <w:noWrap w:val="false"/>
          </w:tcPr>
          <w:p>
            <w:pPr>
              <w:pStyle w:val="1065"/>
              <w:jc w:val="center"/>
              <w:tabs>
                <w:tab w:val="left" w:pos="2385" w:leader="none"/>
              </w:tabs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Согласие с требованием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894" w:type="dxa"/>
            <w:textDirection w:val="lrTb"/>
            <w:noWrap w:val="false"/>
          </w:tcPr>
          <w:p>
            <w:pPr>
              <w:pStyle w:val="963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В составе заявки в первой части Участнику </w:t>
            </w:r>
            <w:r>
              <w:rPr>
                <w:i/>
                <w:iCs/>
                <w:sz w:val="22"/>
                <w:szCs w:val="22"/>
              </w:rPr>
              <w:t xml:space="preserve">необходимо представить сертификаты / декларации соответствия, подтверждающие защитные и эксплуатационные свойства по номенклатуре СИЗ согласно Приложению № 1 к настоящим ТТ и требованиям ТР ТС 019/2011, с занесением номеров сертификатов / деклараций</w:t>
            </w:r>
            <w:r>
              <w:rPr>
                <w:i/>
                <w:iCs/>
                <w:sz w:val="22"/>
                <w:szCs w:val="22"/>
              </w:rPr>
              <w:t xml:space="preserve"> соответствий в Приложение № 1 к настоящим ТТ (столбец 8 Таблицы 3.1)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9" w:type="dxa"/>
            <w:textDirection w:val="lrTb"/>
            <w:noWrap w:val="false"/>
          </w:tcPr>
          <w:p>
            <w:pPr>
              <w:pStyle w:val="106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782" w:type="dxa"/>
            <w:textDirection w:val="lrTb"/>
            <w:noWrap w:val="false"/>
          </w:tcPr>
          <w:p>
            <w:pPr>
              <w:pStyle w:val="106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3273" w:type="dxa"/>
            <w:textDirection w:val="lrTb"/>
            <w:noWrap w:val="false"/>
          </w:tcPr>
          <w:p>
            <w:pPr>
              <w:pStyle w:val="1065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Оформление заявки Участника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450" w:type="dxa"/>
            <w:textDirection w:val="lrTb"/>
            <w:noWrap w:val="false"/>
          </w:tcPr>
          <w:p>
            <w:pPr>
              <w:jc w:val="center"/>
              <w:widowControl w:val="off"/>
              <w:rPr>
                <w:i/>
                <w:iCs/>
                <w:sz w:val="22"/>
                <w:szCs w:val="22"/>
              </w:rPr>
            </w:pPr>
            <w:r>
              <w:rPr>
                <w:rFonts w:cstheme="majorBidi"/>
                <w:i/>
                <w:iCs/>
                <w:sz w:val="22"/>
                <w:szCs w:val="22"/>
              </w:rPr>
              <w:t xml:space="preserve">-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558" w:type="dxa"/>
            <w:textDirection w:val="lrTb"/>
            <w:noWrap w:val="false"/>
          </w:tcPr>
          <w:p>
            <w:pPr>
              <w:pStyle w:val="1065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Согласие с требованием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894" w:type="dxa"/>
            <w:textDirection w:val="lrTb"/>
            <w:noWrap w:val="false"/>
          </w:tcPr>
          <w:p>
            <w:pPr>
              <w:pStyle w:val="1004"/>
              <w:numPr>
                <w:ilvl w:val="2"/>
                <w:numId w:val="0"/>
              </w:numPr>
              <w:jc w:val="center"/>
              <w:widowControl w:val="off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Вся представляемая документация должна быть пронумерована в соответствии с перечнем</w:t>
            </w:r>
            <w:r>
              <w:rPr>
                <w:i/>
                <w:iCs/>
                <w:sz w:val="22"/>
                <w:szCs w:val="22"/>
              </w:rPr>
              <w:t xml:space="preserve"> согласно Таблице 3.1 ТТ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9" w:type="dxa"/>
            <w:textDirection w:val="lrTb"/>
            <w:noWrap w:val="false"/>
          </w:tcPr>
          <w:p>
            <w:pPr>
              <w:pStyle w:val="106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firstLine="284"/>
        <w:jc w:val="both"/>
        <w:spacing w:line="276" w:lineRule="auto"/>
        <w:widowControl w:val="off"/>
        <w:rPr>
          <w:sz w:val="24"/>
          <w:szCs w:val="24"/>
          <w:lang w:eastAsia="ru-RU"/>
        </w:rPr>
      </w:pPr>
      <w:r>
        <w:rPr>
          <w:b/>
          <w:bCs/>
          <w:sz w:val="24"/>
          <w:szCs w:val="24"/>
          <w:highlight w:val="none"/>
        </w:rPr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284"/>
        <w:jc w:val="both"/>
        <w:spacing w:line="276" w:lineRule="auto"/>
        <w:widowControl w:val="off"/>
        <w:rPr>
          <w:b/>
          <w:bCs/>
          <w:sz w:val="24"/>
          <w:szCs w:val="24"/>
          <w:highlight w:val="none"/>
        </w:rPr>
        <w:sectPr>
          <w:footnotePr/>
          <w:endnotePr/>
          <w:type w:val="nextPage"/>
          <w:pgSz w:w="16838" w:h="11906" w:orient="landscape"/>
          <w:pgMar w:top="1134" w:right="1560" w:bottom="851" w:left="992" w:header="709" w:footer="709" w:gutter="0"/>
          <w:cols w:num="1" w:sep="0" w:space="708" w:equalWidth="1"/>
          <w:docGrid w:linePitch="360"/>
          <w:titlePg/>
        </w:sectPr>
      </w:pPr>
      <w:r/>
      <w:bookmarkStart w:id="30" w:name="__RefHeading___Toc1523_1579782901"/>
      <w:r/>
      <w:bookmarkEnd w:id="30"/>
      <w:r>
        <w:rPr>
          <w:b/>
          <w:bCs/>
          <w:sz w:val="24"/>
          <w:szCs w:val="24"/>
          <w:highlight w:val="yellow"/>
        </w:rPr>
        <w:t xml:space="preserve">В соста</w:t>
      </w:r>
      <w:r>
        <w:rPr>
          <w:b/>
          <w:bCs/>
          <w:sz w:val="24"/>
          <w:szCs w:val="24"/>
          <w:highlight w:val="yellow"/>
        </w:rPr>
        <w:t xml:space="preserve">ве заявки пер</w:t>
      </w:r>
      <w:r>
        <w:rPr>
          <w:b/>
          <w:bCs/>
          <w:sz w:val="24"/>
          <w:szCs w:val="24"/>
          <w:highlight w:val="yellow"/>
        </w:rPr>
        <w:t xml:space="preserve">вой части Участник должен предоставить подробное предложение по форме, заполненной в части столбца 6 «Предложение участника по характеристикам и параметрам» Таблицы 3 настоящих Технических требований, без корректировки уже имеющейся в таблице информации и </w:t>
      </w:r>
      <w:r>
        <w:rPr>
          <w:b/>
          <w:bCs/>
          <w:sz w:val="24"/>
          <w:szCs w:val="24"/>
          <w:highlight w:val="yellow"/>
        </w:rPr>
        <w:t xml:space="preserve">требований</w:t>
      </w:r>
      <w:r>
        <w:rPr>
          <w:b/>
          <w:bCs/>
          <w:sz w:val="24"/>
          <w:szCs w:val="24"/>
          <w:highlight w:val="yellow"/>
        </w:rPr>
        <w:t xml:space="preserve">, а также заполненную Таблицу с указанием технических характеристик по форме Таблицы 3.1 (столбец 8 «Предложение участника по характеристикам и параметрам» (Приложение № 1 к настоящим ТТ))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pStyle w:val="939"/>
        <w:numPr>
          <w:ilvl w:val="1"/>
          <w:numId w:val="15"/>
        </w:numPr>
        <w:rPr>
          <w:sz w:val="24"/>
          <w:szCs w:val="24"/>
          <w:highlight w:val="none"/>
        </w:rPr>
      </w:pPr>
      <w:r/>
      <w:bookmarkStart w:id="0" w:name="undefined"/>
      <w:r>
        <w:rPr>
          <w:rStyle w:val="993"/>
        </w:rPr>
        <w:t xml:space="preserve">П</w:t>
      </w:r>
      <w:r>
        <w:rPr>
          <w:rStyle w:val="993"/>
        </w:rPr>
        <w:t xml:space="preserve">рочие (дополнительные ) требования к продукции.</w:t>
      </w:r>
      <w:bookmarkEnd w:id="0"/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40"/>
        <w:ind w:left="0" w:right="0" w:firstLine="709"/>
        <w:jc w:val="both"/>
        <w:spacing w:before="0" w:beforeAutospacing="0" w:after="0" w:afterAutospacing="0"/>
        <w:rPr>
          <w:sz w:val="24"/>
          <w:szCs w:val="24"/>
          <w:highlight w:val="none"/>
        </w:rPr>
      </w:pPr>
      <w:r/>
      <w:bookmarkStart w:id="0" w:name="undefined"/>
      <w:r>
        <w:rPr>
          <w:b w:val="0"/>
          <w:bCs w:val="0"/>
          <w:sz w:val="24"/>
          <w:szCs w:val="24"/>
          <w:highlight w:val="none"/>
        </w:rPr>
        <w:t xml:space="preserve">Согласно постановлению </w:t>
      </w:r>
      <w:r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ru-RU"/>
        </w:rPr>
        <w:t xml:space="preserve">ПП РФ № 1875 </w:t>
      </w:r>
      <w:r>
        <w:rPr>
          <w:b w:val="0"/>
          <w:bCs w:val="0"/>
          <w:sz w:val="24"/>
          <w:szCs w:val="24"/>
          <w:highlight w:val="none"/>
        </w:rPr>
        <w:t xml:space="preserve">установлен запрет закупки продукции </w:t>
      </w:r>
      <w:r>
        <w:rPr>
          <w:b w:val="0"/>
          <w:bCs w:val="0"/>
          <w:sz w:val="24"/>
          <w:szCs w:val="24"/>
          <w:highlight w:val="none"/>
        </w:rPr>
        <w:t xml:space="preserve">по поз.1-41 приложения 1 к ТТ, </w:t>
      </w:r>
      <w:r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происходящей из иностранных государств</w:t>
      </w:r>
      <w:r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ru-RU"/>
        </w:rPr>
        <w:t xml:space="preserve">. </w:t>
      </w:r>
      <w:r>
        <w:rPr>
          <w:b w:val="0"/>
          <w:bCs w:val="0"/>
          <w:sz w:val="24"/>
          <w:szCs w:val="24"/>
          <w:highlight w:val="none"/>
        </w:rPr>
        <w:t xml:space="preserve">Не допускаются:</w:t>
      </w:r>
      <w:bookmarkEnd w:id="0"/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40"/>
        <w:jc w:val="both"/>
        <w:spacing w:before="0" w:beforeAutospacing="0" w:after="0" w:afterAutospacing="0"/>
        <w:rPr>
          <w:b w:val="0"/>
          <w:bCs w:val="0"/>
          <w:sz w:val="24"/>
          <w:szCs w:val="24"/>
          <w:highlight w:val="none"/>
        </w:rPr>
      </w:pPr>
      <w:r/>
      <w:bookmarkStart w:id="0" w:name="undefined"/>
      <w:r>
        <w:rPr>
          <w:b w:val="0"/>
          <w:bCs w:val="0"/>
          <w:sz w:val="24"/>
          <w:szCs w:val="24"/>
          <w:highlight w:val="none"/>
        </w:rPr>
        <w:t xml:space="preserve">а) заключение договора на поставку такого товара;</w:t>
      </w:r>
      <w:bookmarkEnd w:id="0"/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40"/>
        <w:jc w:val="both"/>
        <w:spacing w:before="0" w:beforeAutospacing="0" w:after="0" w:afterAutospacing="0"/>
        <w:rPr>
          <w:b w:val="0"/>
          <w:bCs w:val="0"/>
          <w:sz w:val="24"/>
          <w:szCs w:val="24"/>
          <w:highlight w:val="none"/>
        </w:rPr>
      </w:pPr>
      <w:r/>
      <w:bookmarkStart w:id="0" w:name="undefined"/>
      <w:r>
        <w:rPr>
          <w:b w:val="0"/>
          <w:bCs w:val="0"/>
          <w:sz w:val="24"/>
          <w:szCs w:val="24"/>
          <w:highlight w:val="none"/>
        </w:rPr>
        <w:t xml:space="preserve">б) при исполнении договора замена такого товара на происходящий из иностранного государства товар.</w:t>
      </w:r>
      <w:bookmarkEnd w:id="0"/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40"/>
        <w:spacing w:before="0" w:beforeAutospacing="0" w:after="0" w:afterAutospacing="0"/>
        <w:rPr>
          <w:b w:val="0"/>
          <w:bCs w:val="0"/>
          <w:sz w:val="24"/>
          <w:szCs w:val="24"/>
          <w:highlight w:val="none"/>
        </w:rPr>
      </w:pPr>
      <w:r/>
      <w:bookmarkStart w:id="0" w:name="undefined"/>
      <w:r>
        <w:rPr>
          <w:b w:val="0"/>
          <w:bCs w:val="0"/>
          <w:sz w:val="24"/>
          <w:szCs w:val="24"/>
          <w:highlight w:val="none"/>
        </w:rPr>
        <w:t xml:space="preserve">Предлагаемая продукция должна быть  включена в реестры, а именно:</w:t>
      </w:r>
      <w:bookmarkEnd w:id="0"/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spacing w:before="0" w:beforeAutospacing="0" w:after="0" w:afterAutospacing="0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а) Реестр российской промышленной продукции, предусмотренные статьей 171 ФЗ "О промышленной политике в Российской Федерации"</w:t>
      </w:r>
      <w:r>
        <w:rPr>
          <w:sz w:val="24"/>
          <w:szCs w:val="24"/>
          <w:highlight w:val="none"/>
        </w:rPr>
        <w:t xml:space="preserve">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spacing w:before="0" w:beforeAutospacing="0" w:after="0" w:afterAutospacing="0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б) Реестр промышленной продукции, произведенной на территории государств – членов Евразийского экономического союза, за исключением Российской Федер</w:t>
      </w:r>
      <w:r>
        <w:rPr>
          <w:sz w:val="24"/>
          <w:szCs w:val="24"/>
          <w:highlight w:val="none"/>
        </w:rPr>
        <w:t xml:space="preserve">ации, порядок формирования и ведения которого устанавливается правом Евразийского экономического союза (далее - евразийский реестр промышленных товаров)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284"/>
        <w:jc w:val="both"/>
        <w:spacing w:before="0" w:beforeAutospacing="0" w:after="0" w:afterAutospacing="0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Участник должен предоставить в составе заявки  Коммерческое предложение по форме, установленной документацией о закупке, с указанием в отношении поставляемой продукции </w:t>
      </w:r>
      <w:r>
        <w:rPr>
          <w:b w:val="0"/>
          <w:bCs w:val="0"/>
          <w:sz w:val="24"/>
          <w:szCs w:val="24"/>
          <w:highlight w:val="none"/>
        </w:rPr>
        <w:t xml:space="preserve">по поз.1-41 приложения 1 к ТТ,</w:t>
      </w:r>
      <w:r>
        <w:rPr>
          <w:sz w:val="24"/>
          <w:szCs w:val="24"/>
          <w:highlight w:val="none"/>
        </w:rPr>
        <w:t xml:space="preserve"> информации: о наименовании реестра (реестров), о номере (номерах) реестровой записи (реест</w:t>
      </w:r>
      <w:r>
        <w:rPr>
          <w:sz w:val="24"/>
          <w:szCs w:val="24"/>
          <w:highlight w:val="none"/>
        </w:rPr>
        <w:t xml:space="preserve">ровых записей) соответствующих реестров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284"/>
        <w:jc w:val="both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8"/>
        <w:keepLines/>
        <w:spacing w:before="100" w:beforeAutospacing="1" w:after="100" w:afterAutospacing="1" w:line="276" w:lineRule="auto"/>
        <w:rPr>
          <w:sz w:val="24"/>
          <w:szCs w:val="24"/>
        </w:rPr>
      </w:pPr>
      <w:r/>
      <w:bookmarkStart w:id="30" w:name="_Toc50125140"/>
      <w:r>
        <w:rPr>
          <w:sz w:val="24"/>
          <w:szCs w:val="24"/>
          <w:lang w:val="ru-RU"/>
        </w:rPr>
        <w:t xml:space="preserve">3. </w:t>
      </w:r>
      <w:r>
        <w:rPr>
          <w:sz w:val="24"/>
          <w:szCs w:val="24"/>
          <w:lang w:val="ru-RU"/>
        </w:rPr>
        <w:t xml:space="preserve">Требования к документации по ценообразованию</w:t>
      </w:r>
      <w:r>
        <w:rPr>
          <w:sz w:val="24"/>
          <w:szCs w:val="24"/>
          <w:lang w:val="ru-RU"/>
        </w:rPr>
        <w:t xml:space="preserve"> на этапе закупки</w:t>
      </w:r>
      <w:r>
        <w:rPr>
          <w:sz w:val="24"/>
          <w:szCs w:val="24"/>
          <w:lang w:val="ru-RU"/>
        </w:rPr>
        <w:t xml:space="preserve">.</w:t>
      </w:r>
      <w:bookmarkEnd w:id="3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rPr>
          <w:b w:val="0"/>
          <w:iCs/>
          <w:sz w:val="24"/>
          <w:szCs w:val="24"/>
        </w:rPr>
      </w:pPr>
      <w:r>
        <w:rPr>
          <w:b w:val="0"/>
          <w:sz w:val="24"/>
          <w:szCs w:val="24"/>
          <w:lang w:val="ru-RU"/>
        </w:rPr>
        <w:t xml:space="preserve">Цена за единицу продукции должна включать в себя транспортировку продукции до места поставки, подлежащие уплате налоги, сборы и пошлины и </w:t>
      </w:r>
      <w:r>
        <w:rPr>
          <w:b w:val="0"/>
          <w:sz w:val="24"/>
          <w:szCs w:val="24"/>
          <w:lang w:val="ru-RU"/>
        </w:rPr>
        <w:t xml:space="preserve">прочие затраты</w:t>
      </w:r>
      <w:r>
        <w:rPr>
          <w:b w:val="0"/>
          <w:sz w:val="24"/>
          <w:szCs w:val="24"/>
          <w:lang w:val="ru-RU"/>
        </w:rPr>
        <w:t xml:space="preserve"> и расходы поставщика, связанные с поставкой продукции, предусмотренные Проектом договора (Приложение № 3 к Техническим требованиям).</w:t>
      </w:r>
      <w:r>
        <w:rPr>
          <w:b w:val="0"/>
          <w:iCs/>
          <w:sz w:val="24"/>
          <w:szCs w:val="24"/>
        </w:rPr>
      </w:r>
      <w:r>
        <w:rPr>
          <w:b w:val="0"/>
          <w:iCs/>
          <w:sz w:val="24"/>
          <w:szCs w:val="24"/>
        </w:rPr>
      </w:r>
    </w:p>
    <w:p>
      <w:pPr>
        <w:pStyle w:val="938"/>
        <w:keepLines/>
        <w:spacing w:before="100" w:beforeAutospacing="1" w:after="100" w:afterAutospacing="1" w:line="276" w:lineRule="auto"/>
        <w:rPr>
          <w:sz w:val="24"/>
          <w:szCs w:val="24"/>
        </w:rPr>
      </w:pPr>
      <w:r/>
      <w:bookmarkStart w:id="31" w:name="_Toc50125141"/>
      <w:r>
        <w:rPr>
          <w:sz w:val="24"/>
          <w:szCs w:val="24"/>
          <w:lang w:val="ru-RU"/>
        </w:rPr>
        <w:t xml:space="preserve">4. </w:t>
      </w:r>
      <w:r>
        <w:rPr>
          <w:sz w:val="24"/>
          <w:szCs w:val="24"/>
          <w:lang w:val="ru-RU"/>
        </w:rPr>
        <w:t xml:space="preserve">Требования к документации по ценообразованию на этапе заключения </w:t>
      </w:r>
      <w:r>
        <w:rPr>
          <w:sz w:val="24"/>
          <w:szCs w:val="24"/>
          <w:lang w:val="ru-RU"/>
        </w:rPr>
        <w:t xml:space="preserve">(исполнения) </w:t>
      </w:r>
      <w:r>
        <w:rPr>
          <w:sz w:val="24"/>
          <w:szCs w:val="24"/>
          <w:lang w:val="ru-RU"/>
        </w:rPr>
        <w:t xml:space="preserve">договора</w:t>
      </w:r>
      <w:r>
        <w:rPr>
          <w:sz w:val="24"/>
          <w:szCs w:val="24"/>
        </w:rPr>
      </w:r>
      <w:bookmarkEnd w:id="3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rPr>
          <w:b w:val="0"/>
          <w:bCs w:val="0"/>
          <w:caps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Цена за единицу продукции </w:t>
      </w:r>
      <w:r>
        <w:rPr>
          <w:b w:val="0"/>
          <w:bCs w:val="0"/>
          <w:sz w:val="24"/>
          <w:szCs w:val="24"/>
          <w:highlight w:val="none"/>
        </w:rPr>
        <w:t xml:space="preserve">фиксируется в соответствии с условиями проведенной конкурентной процедуры и не подлежит изменению Поставщиком в одностороннем порядке до полного исполнения Договора. Индексация цены Договора не предусмотрена</w:t>
      </w:r>
      <w:r>
        <w:rPr>
          <w:b w:val="0"/>
          <w:bCs w:val="0"/>
          <w:sz w:val="24"/>
          <w:szCs w:val="24"/>
          <w:highlight w:val="none"/>
        </w:rPr>
        <w:t xml:space="preserve">.</w:t>
      </w:r>
      <w:r>
        <w:rPr>
          <w:b w:val="0"/>
          <w:bCs w:val="0"/>
          <w:caps/>
          <w:sz w:val="24"/>
          <w:szCs w:val="24"/>
        </w:rPr>
      </w:r>
      <w:r>
        <w:rPr>
          <w:b w:val="0"/>
          <w:bCs w:val="0"/>
          <w:caps/>
          <w:sz w:val="24"/>
          <w:szCs w:val="24"/>
        </w:rPr>
      </w:r>
    </w:p>
    <w:p>
      <w:pPr>
        <w:pStyle w:val="938"/>
        <w:ind w:left="357" w:hanging="357"/>
        <w:keepLines/>
        <w:spacing w:before="100" w:beforeAutospacing="1" w:after="100" w:afterAutospacing="1" w:line="276" w:lineRule="auto"/>
        <w:rPr>
          <w:iCs/>
          <w:sz w:val="24"/>
          <w:szCs w:val="24"/>
          <w:highlight w:val="none"/>
        </w:rPr>
      </w:pPr>
      <w:r/>
      <w:bookmarkStart w:id="32" w:name="_Toc50125142"/>
      <w:r>
        <w:rPr>
          <w:iCs/>
          <w:sz w:val="24"/>
          <w:szCs w:val="24"/>
          <w:lang w:val="ru-RU"/>
        </w:rPr>
        <w:t xml:space="preserve">5. П</w:t>
      </w:r>
      <w:r>
        <w:rPr>
          <w:iCs/>
          <w:sz w:val="24"/>
          <w:szCs w:val="24"/>
        </w:rPr>
        <w:t xml:space="preserve">риложения</w:t>
      </w:r>
      <w:r>
        <w:rPr>
          <w:sz w:val="24"/>
          <w:szCs w:val="24"/>
        </w:rPr>
      </w:r>
      <w:bookmarkEnd w:id="32"/>
      <w:r>
        <w:rPr>
          <w:iCs/>
          <w:sz w:val="24"/>
          <w:szCs w:val="24"/>
          <w:highlight w:val="none"/>
        </w:rPr>
      </w:r>
      <w:r>
        <w:rPr>
          <w:iCs/>
          <w:sz w:val="24"/>
          <w:szCs w:val="24"/>
          <w:highlight w:val="none"/>
        </w:rPr>
      </w:r>
    </w:p>
    <w:p>
      <w:pPr>
        <w:jc w:val="both"/>
        <w:spacing w:before="100" w:beforeAutospacing="1" w:after="100" w:afterAutospacing="1" w:line="276" w:lineRule="auto"/>
        <w:widowControl w:val="off"/>
        <w:tabs>
          <w:tab w:val="left" w:pos="426" w:leader="none"/>
        </w:tabs>
        <w:rPr>
          <w:rStyle w:val="1035"/>
          <w:b w:val="0"/>
          <w:bCs/>
          <w:i w:val="0"/>
          <w:iCs/>
          <w:sz w:val="24"/>
          <w:szCs w:val="24"/>
          <w:shd w:val="clear" w:color="auto" w:fill="auto"/>
        </w:rPr>
      </w:pPr>
      <w:r>
        <w:rPr>
          <w:rStyle w:val="1035"/>
          <w:b w:val="0"/>
          <w:bCs/>
          <w:i w:val="0"/>
          <w:iCs/>
          <w:sz w:val="24"/>
          <w:szCs w:val="24"/>
          <w:shd w:val="clear" w:color="auto" w:fill="auto"/>
        </w:rPr>
        <w:t xml:space="preserve">Приложение 1</w:t>
      </w:r>
      <w:r>
        <w:rPr>
          <w:rStyle w:val="1035"/>
          <w:b w:val="0"/>
          <w:bCs/>
          <w:i w:val="0"/>
          <w:iCs/>
          <w:sz w:val="24"/>
          <w:szCs w:val="24"/>
          <w:shd w:val="clear" w:color="auto" w:fill="auto"/>
        </w:rPr>
        <w:t xml:space="preserve">. </w:t>
      </w:r>
      <w:r>
        <w:rPr>
          <w:rStyle w:val="1035"/>
          <w:b w:val="0"/>
          <w:bCs/>
          <w:i w:val="0"/>
          <w:iCs/>
          <w:sz w:val="24"/>
          <w:szCs w:val="24"/>
          <w:shd w:val="clear" w:color="auto" w:fill="auto"/>
        </w:rPr>
        <w:t xml:space="preserve">Требования к количественным и качественным характеристикам продукции</w:t>
      </w:r>
      <w:r>
        <w:rPr>
          <w:rStyle w:val="1035"/>
          <w:b w:val="0"/>
          <w:bCs/>
          <w:i w:val="0"/>
          <w:iCs/>
          <w:sz w:val="24"/>
          <w:szCs w:val="24"/>
          <w:shd w:val="clear" w:color="auto" w:fill="auto"/>
        </w:rPr>
        <w:t xml:space="preserve">.</w:t>
      </w:r>
      <w:r>
        <w:rPr>
          <w:rStyle w:val="1035"/>
          <w:b w:val="0"/>
          <w:bCs/>
          <w:i w:val="0"/>
          <w:iCs/>
          <w:sz w:val="24"/>
          <w:szCs w:val="24"/>
          <w:shd w:val="clear" w:color="auto" w:fill="auto"/>
        </w:rPr>
      </w:r>
      <w:r>
        <w:rPr>
          <w:rStyle w:val="1035"/>
          <w:b w:val="0"/>
          <w:bCs/>
          <w:i w:val="0"/>
          <w:iCs/>
          <w:sz w:val="24"/>
          <w:szCs w:val="24"/>
          <w:shd w:val="clear" w:color="auto" w:fill="auto"/>
        </w:rPr>
      </w:r>
    </w:p>
    <w:p>
      <w:pPr>
        <w:jc w:val="both"/>
        <w:spacing w:before="100" w:beforeAutospacing="1" w:after="100" w:afterAutospacing="1" w:line="276" w:lineRule="auto"/>
        <w:widowControl w:val="off"/>
        <w:tabs>
          <w:tab w:val="left" w:pos="426" w:leader="none"/>
        </w:tabs>
        <w:rPr>
          <w:rStyle w:val="1035"/>
          <w:b w:val="0"/>
          <w:bCs/>
          <w:i w:val="0"/>
          <w:iCs/>
          <w:sz w:val="24"/>
          <w:szCs w:val="24"/>
          <w:shd w:val="clear" w:color="auto" w:fill="auto"/>
        </w:rPr>
      </w:pPr>
      <w:r>
        <w:rPr>
          <w:rStyle w:val="1035"/>
          <w:b w:val="0"/>
          <w:bCs/>
          <w:i w:val="0"/>
          <w:iCs/>
          <w:sz w:val="24"/>
          <w:szCs w:val="24"/>
          <w:shd w:val="clear" w:color="auto" w:fill="auto"/>
        </w:rPr>
        <w:t xml:space="preserve">Приложение 2.</w:t>
      </w:r>
      <w:r>
        <w:rPr>
          <w:rStyle w:val="1035"/>
          <w:b w:val="0"/>
          <w:bCs/>
          <w:i w:val="0"/>
          <w:iCs/>
          <w:sz w:val="24"/>
          <w:szCs w:val="24"/>
          <w:shd w:val="clear" w:color="auto" w:fill="auto"/>
        </w:rPr>
        <w:t xml:space="preserve"> </w:t>
      </w:r>
      <w:r>
        <w:rPr>
          <w:rStyle w:val="1035"/>
          <w:b w:val="0"/>
          <w:bCs/>
          <w:i w:val="0"/>
          <w:iCs/>
          <w:sz w:val="24"/>
          <w:szCs w:val="24"/>
          <w:shd w:val="clear" w:color="auto" w:fill="auto"/>
        </w:rPr>
        <w:t xml:space="preserve">Требования к</w:t>
      </w:r>
      <w:r>
        <w:rPr>
          <w:rStyle w:val="1035"/>
          <w:b w:val="0"/>
          <w:bCs/>
          <w:i w:val="0"/>
          <w:iCs/>
          <w:sz w:val="24"/>
          <w:szCs w:val="24"/>
          <w:shd w:val="clear" w:color="auto" w:fill="auto"/>
        </w:rPr>
        <w:t xml:space="preserve"> конструкции </w:t>
      </w:r>
      <w:r>
        <w:rPr>
          <w:rStyle w:val="1035"/>
          <w:b w:val="0"/>
          <w:bCs/>
          <w:i w:val="0"/>
          <w:iCs/>
          <w:sz w:val="24"/>
          <w:szCs w:val="24"/>
          <w:shd w:val="clear" w:color="auto" w:fill="auto"/>
        </w:rPr>
        <w:t xml:space="preserve">моделей.</w:t>
      </w:r>
      <w:r>
        <w:rPr>
          <w:rStyle w:val="1035"/>
          <w:b w:val="0"/>
          <w:bCs/>
          <w:i w:val="0"/>
          <w:iCs/>
          <w:sz w:val="24"/>
          <w:szCs w:val="24"/>
          <w:shd w:val="clear" w:color="auto" w:fill="auto"/>
        </w:rPr>
      </w:r>
      <w:r>
        <w:rPr>
          <w:rStyle w:val="1035"/>
          <w:b w:val="0"/>
          <w:bCs/>
          <w:i w:val="0"/>
          <w:iCs/>
          <w:sz w:val="24"/>
          <w:szCs w:val="24"/>
          <w:shd w:val="clear" w:color="auto" w:fill="auto"/>
        </w:rPr>
      </w:r>
    </w:p>
    <w:p>
      <w:pPr>
        <w:jc w:val="both"/>
        <w:spacing w:before="100" w:beforeAutospacing="1" w:after="100" w:afterAutospacing="1" w:line="276" w:lineRule="auto"/>
        <w:widowControl w:val="off"/>
        <w:tabs>
          <w:tab w:val="left" w:pos="426" w:leader="none"/>
        </w:tabs>
        <w:rPr>
          <w:rStyle w:val="1035"/>
          <w:b w:val="0"/>
          <w:bCs/>
          <w:i w:val="0"/>
          <w:iCs/>
          <w:sz w:val="24"/>
          <w:szCs w:val="24"/>
          <w:shd w:val="clear" w:color="auto" w:fill="auto"/>
        </w:rPr>
      </w:pPr>
      <w:r>
        <w:rPr>
          <w:rStyle w:val="1035"/>
          <w:b w:val="0"/>
          <w:bCs/>
          <w:i w:val="0"/>
          <w:iCs/>
          <w:sz w:val="24"/>
          <w:szCs w:val="24"/>
          <w:shd w:val="clear" w:color="auto" w:fill="auto"/>
        </w:rPr>
        <w:t xml:space="preserve">Приложение 3.</w:t>
      </w:r>
      <w:r>
        <w:rPr>
          <w:rStyle w:val="1035"/>
          <w:b w:val="0"/>
          <w:bCs/>
          <w:i w:val="0"/>
          <w:iCs/>
          <w:sz w:val="24"/>
          <w:szCs w:val="24"/>
          <w:shd w:val="clear" w:color="auto" w:fill="auto"/>
        </w:rPr>
        <w:t xml:space="preserve"> </w:t>
      </w:r>
      <w:r>
        <w:rPr>
          <w:rStyle w:val="1035"/>
          <w:b w:val="0"/>
          <w:bCs/>
          <w:i w:val="0"/>
          <w:iCs/>
          <w:sz w:val="24"/>
          <w:szCs w:val="24"/>
          <w:shd w:val="clear" w:color="auto" w:fill="auto"/>
        </w:rPr>
        <w:t xml:space="preserve">Проект договора</w:t>
      </w:r>
      <w:r>
        <w:rPr>
          <w:rStyle w:val="1035"/>
          <w:b w:val="0"/>
          <w:bCs/>
          <w:i w:val="0"/>
          <w:iCs/>
          <w:sz w:val="24"/>
          <w:szCs w:val="24"/>
          <w:shd w:val="clear" w:color="auto" w:fill="auto"/>
        </w:rPr>
        <w:t xml:space="preserve">.</w:t>
      </w:r>
      <w:r>
        <w:rPr>
          <w:rStyle w:val="1035"/>
          <w:b w:val="0"/>
          <w:bCs/>
          <w:i w:val="0"/>
          <w:iCs/>
          <w:sz w:val="24"/>
          <w:szCs w:val="24"/>
          <w:shd w:val="clear" w:color="auto" w:fill="auto"/>
        </w:rPr>
      </w:r>
      <w:r>
        <w:rPr>
          <w:rStyle w:val="1035"/>
          <w:b w:val="0"/>
          <w:bCs/>
          <w:i w:val="0"/>
          <w:iCs/>
          <w:sz w:val="24"/>
          <w:szCs w:val="24"/>
          <w:shd w:val="clear" w:color="auto" w:fill="auto"/>
        </w:rPr>
      </w:r>
    </w:p>
    <w:sectPr>
      <w:footnotePr/>
      <w:endnotePr/>
      <w:type w:val="nextPage"/>
      <w:pgSz w:w="11906" w:h="16838" w:orient="portrait"/>
      <w:pgMar w:top="1560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Verdana">
    <w:panose1 w:val="020B0604030504040204"/>
  </w:font>
  <w:font w:name="Tahoma">
    <w:panose1 w:val="020B0604030504040204"/>
  </w:font>
  <w:font w:name="Cambria">
    <w:panose1 w:val="020408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9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3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9"/>
      <w:rPr>
        <w:rStyle w:val="971"/>
      </w:rPr>
      <w:framePr w:wrap="around" w:vAnchor="text" w:hAnchor="margin" w:xAlign="center" w:y="1"/>
    </w:pPr>
    <w:r>
      <w:rPr>
        <w:rStyle w:val="971"/>
      </w:rPr>
      <w:fldChar w:fldCharType="begin"/>
    </w:r>
    <w:r>
      <w:rPr>
        <w:rStyle w:val="971"/>
      </w:rPr>
      <w:instrText xml:space="preserve">PAGE  </w:instrText>
    </w:r>
    <w:r>
      <w:rPr>
        <w:rStyle w:val="971"/>
      </w:rPr>
      <w:fldChar w:fldCharType="end"/>
    </w:r>
    <w:r>
      <w:rPr>
        <w:rStyle w:val="971"/>
      </w:rPr>
    </w:r>
    <w:r>
      <w:rPr>
        <w:rStyle w:val="971"/>
      </w:rPr>
    </w:r>
  </w:p>
  <w:p>
    <w:pPr>
      <w:pStyle w:val="959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9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38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39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42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40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41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decimal"/>
      <w:pStyle w:val="95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52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4">
    <w:multiLevelType w:val="hybridMultilevel"/>
    <w:styleLink w:val="1032"/>
    <w:lvl w:ilvl="0">
      <w:start w:val="1"/>
      <w:numFmt w:val="decimal"/>
      <w:pStyle w:val="1032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">
    <w:multiLevelType w:val="hybridMultilevel"/>
    <w:lvl w:ilvl="0">
      <w:start w:val="1"/>
      <w:numFmt w:val="decimal"/>
      <w:pStyle w:val="1050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7">
    <w:multiLevelType w:val="hybridMultilevel"/>
    <w:lvl w:ilvl="0">
      <w:start w:val="4"/>
      <w:numFmt w:val="bullet"/>
      <w:pStyle w:val="1019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20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18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8">
    <w:multiLevelType w:val="hybridMultilevel"/>
    <w:styleLink w:val="1028"/>
    <w:lvl w:ilvl="0">
      <w:start w:val="3"/>
      <w:numFmt w:val="decimal"/>
      <w:pStyle w:val="1028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73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73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73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73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73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73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73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73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73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7.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12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2558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99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49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9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50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00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51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086" w:hanging="144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12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2558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99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49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9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50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00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51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086" w:hanging="144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7.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7.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decimal"/>
      <w:isLgl w:val="false"/>
      <w:suff w:val="tab"/>
      <w:lvlText w:val="7.%3."/>
      <w:lvlJc w:val="left"/>
      <w:pPr>
        <w:ind w:left="2160" w:hanging="360"/>
      </w:pPr>
      <w:rPr>
        <w:rFonts w:hint="default" w:cs="Times New Roman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73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73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12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2558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99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49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9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50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00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51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086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12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2558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99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49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9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50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00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51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086" w:hanging="144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73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73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73" w:hanging="504"/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573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  <w:tabs>
          <w:tab w:val="num" w:pos="0" w:leader="none"/>
        </w:tabs>
      </w:p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5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92">
    <w:name w:val="Heading 1 Char"/>
    <w:basedOn w:val="947"/>
    <w:link w:val="938"/>
    <w:uiPriority w:val="9"/>
    <w:rPr>
      <w:rFonts w:ascii="Arial" w:hAnsi="Arial" w:eastAsia="Arial" w:cs="Arial"/>
      <w:sz w:val="40"/>
      <w:szCs w:val="40"/>
    </w:rPr>
  </w:style>
  <w:style w:type="character" w:styleId="793">
    <w:name w:val="Heading 2 Char"/>
    <w:basedOn w:val="947"/>
    <w:link w:val="939"/>
    <w:uiPriority w:val="9"/>
    <w:rPr>
      <w:rFonts w:ascii="Arial" w:hAnsi="Arial" w:eastAsia="Arial" w:cs="Arial"/>
      <w:sz w:val="34"/>
    </w:rPr>
  </w:style>
  <w:style w:type="character" w:styleId="794">
    <w:name w:val="Heading 3 Char"/>
    <w:basedOn w:val="947"/>
    <w:link w:val="940"/>
    <w:uiPriority w:val="9"/>
    <w:rPr>
      <w:rFonts w:ascii="Arial" w:hAnsi="Arial" w:eastAsia="Arial" w:cs="Arial"/>
      <w:sz w:val="30"/>
      <w:szCs w:val="30"/>
    </w:rPr>
  </w:style>
  <w:style w:type="character" w:styleId="795">
    <w:name w:val="Heading 4 Char"/>
    <w:basedOn w:val="947"/>
    <w:link w:val="941"/>
    <w:uiPriority w:val="9"/>
    <w:rPr>
      <w:rFonts w:ascii="Arial" w:hAnsi="Arial" w:eastAsia="Arial" w:cs="Arial"/>
      <w:b/>
      <w:bCs/>
      <w:sz w:val="26"/>
      <w:szCs w:val="26"/>
    </w:rPr>
  </w:style>
  <w:style w:type="character" w:styleId="796">
    <w:name w:val="Heading 5 Char"/>
    <w:basedOn w:val="947"/>
    <w:link w:val="942"/>
    <w:uiPriority w:val="9"/>
    <w:rPr>
      <w:rFonts w:ascii="Arial" w:hAnsi="Arial" w:eastAsia="Arial" w:cs="Arial"/>
      <w:b/>
      <w:bCs/>
      <w:sz w:val="24"/>
      <w:szCs w:val="24"/>
    </w:rPr>
  </w:style>
  <w:style w:type="character" w:styleId="797">
    <w:name w:val="Heading 6 Char"/>
    <w:basedOn w:val="947"/>
    <w:link w:val="943"/>
    <w:uiPriority w:val="9"/>
    <w:rPr>
      <w:rFonts w:ascii="Arial" w:hAnsi="Arial" w:eastAsia="Arial" w:cs="Arial"/>
      <w:b/>
      <w:bCs/>
      <w:sz w:val="22"/>
      <w:szCs w:val="22"/>
    </w:rPr>
  </w:style>
  <w:style w:type="character" w:styleId="798">
    <w:name w:val="Heading 7 Char"/>
    <w:basedOn w:val="947"/>
    <w:link w:val="94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9">
    <w:name w:val="Heading 8 Char"/>
    <w:basedOn w:val="947"/>
    <w:link w:val="945"/>
    <w:uiPriority w:val="9"/>
    <w:rPr>
      <w:rFonts w:ascii="Arial" w:hAnsi="Arial" w:eastAsia="Arial" w:cs="Arial"/>
      <w:i/>
      <w:iCs/>
      <w:sz w:val="22"/>
      <w:szCs w:val="22"/>
    </w:rPr>
  </w:style>
  <w:style w:type="character" w:styleId="800">
    <w:name w:val="Heading 9 Char"/>
    <w:basedOn w:val="947"/>
    <w:link w:val="946"/>
    <w:uiPriority w:val="9"/>
    <w:rPr>
      <w:rFonts w:ascii="Arial" w:hAnsi="Arial" w:eastAsia="Arial" w:cs="Arial"/>
      <w:i/>
      <w:iCs/>
      <w:sz w:val="21"/>
      <w:szCs w:val="21"/>
    </w:rPr>
  </w:style>
  <w:style w:type="paragraph" w:styleId="801">
    <w:name w:val="Title"/>
    <w:basedOn w:val="937"/>
    <w:next w:val="937"/>
    <w:link w:val="80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02">
    <w:name w:val="Title Char"/>
    <w:basedOn w:val="947"/>
    <w:link w:val="801"/>
    <w:uiPriority w:val="10"/>
    <w:rPr>
      <w:sz w:val="48"/>
      <w:szCs w:val="48"/>
    </w:rPr>
  </w:style>
  <w:style w:type="character" w:styleId="803">
    <w:name w:val="Subtitle Char"/>
    <w:basedOn w:val="947"/>
    <w:link w:val="1001"/>
    <w:uiPriority w:val="11"/>
    <w:rPr>
      <w:sz w:val="24"/>
      <w:szCs w:val="24"/>
    </w:rPr>
  </w:style>
  <w:style w:type="character" w:styleId="804">
    <w:name w:val="Quote Char"/>
    <w:link w:val="1005"/>
    <w:uiPriority w:val="29"/>
    <w:rPr>
      <w:i/>
    </w:rPr>
  </w:style>
  <w:style w:type="character" w:styleId="805">
    <w:name w:val="Intense Quote Char"/>
    <w:link w:val="1007"/>
    <w:uiPriority w:val="30"/>
    <w:rPr>
      <w:i/>
    </w:rPr>
  </w:style>
  <w:style w:type="character" w:styleId="806">
    <w:name w:val="Header Char"/>
    <w:basedOn w:val="947"/>
    <w:link w:val="959"/>
    <w:uiPriority w:val="99"/>
  </w:style>
  <w:style w:type="character" w:styleId="807">
    <w:name w:val="Footer Char"/>
    <w:basedOn w:val="947"/>
    <w:link w:val="962"/>
    <w:uiPriority w:val="99"/>
  </w:style>
  <w:style w:type="character" w:styleId="808">
    <w:name w:val="Caption Char"/>
    <w:basedOn w:val="999"/>
    <w:link w:val="962"/>
    <w:uiPriority w:val="99"/>
  </w:style>
  <w:style w:type="table" w:styleId="809">
    <w:name w:val="Table Grid Light"/>
    <w:basedOn w:val="9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0">
    <w:name w:val="Plain Table 1"/>
    <w:basedOn w:val="9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1">
    <w:name w:val="Plain Table 2"/>
    <w:basedOn w:val="94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2">
    <w:name w:val="Plain Table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3">
    <w:name w:val="Plain Table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Plain Table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5">
    <w:name w:val="Grid Table 1 Light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Grid Table 1 Light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Grid Table 1 Light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Grid Table 1 Light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Grid Table 1 Light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Grid Table 1 Light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Grid Table 1 Light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Grid Table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2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2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2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2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2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2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3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3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3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3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3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3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4"/>
    <w:basedOn w:val="9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7">
    <w:name w:val="Grid Table 4 - Accent 1"/>
    <w:basedOn w:val="9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38">
    <w:name w:val="Grid Table 4 - Accent 2"/>
    <w:basedOn w:val="9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39">
    <w:name w:val="Grid Table 4 - Accent 3"/>
    <w:basedOn w:val="9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40">
    <w:name w:val="Grid Table 4 - Accent 4"/>
    <w:basedOn w:val="9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41">
    <w:name w:val="Grid Table 4 - Accent 5"/>
    <w:basedOn w:val="9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42">
    <w:name w:val="Grid Table 4 - Accent 6"/>
    <w:basedOn w:val="9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3">
    <w:name w:val="Grid Table 5 Dark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4">
    <w:name w:val="Grid Table 5 Dark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45">
    <w:name w:val="Grid Table 5 Dark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46">
    <w:name w:val="Grid Table 5 Dark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47">
    <w:name w:val="Grid Table 5 Dark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48">
    <w:name w:val="Grid Table 5 Dark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49">
    <w:name w:val="Grid Table 5 Dark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50">
    <w:name w:val="Grid Table 6 Colorful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51">
    <w:name w:val="Grid Table 6 Colorful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52">
    <w:name w:val="Grid Table 6 Colorful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53">
    <w:name w:val="Grid Table 6 Colorful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54">
    <w:name w:val="Grid Table 6 Colorful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55">
    <w:name w:val="Grid Table 6 Colorful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6">
    <w:name w:val="Grid Table 6 Colorful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7">
    <w:name w:val="Grid Table 7 Colorful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7 Colorful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7 Colorful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7 Colorful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7 Colorful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7 Colorful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7 Colorful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List Table 1 Light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List Table 1 Light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List Table 1 Light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1 Light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List Table 1 Light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List Table 1 Light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List Table 1 Light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List Table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72">
    <w:name w:val="List Table 2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73">
    <w:name w:val="List Table 2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74">
    <w:name w:val="List Table 2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75">
    <w:name w:val="List Table 2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76">
    <w:name w:val="List Table 2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77">
    <w:name w:val="List Table 2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78">
    <w:name w:val="List Table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3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3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3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3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3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3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4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4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4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4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4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4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5 Dark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3">
    <w:name w:val="List Table 5 Dark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4">
    <w:name w:val="List Table 5 Dark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5">
    <w:name w:val="List Table 5 Dark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6">
    <w:name w:val="List Table 5 Dark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7">
    <w:name w:val="List Table 5 Dark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8">
    <w:name w:val="List Table 5 Dark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9">
    <w:name w:val="List Table 6 Colorful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00">
    <w:name w:val="List Table 6 Colorful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1">
    <w:name w:val="List Table 6 Colorful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02">
    <w:name w:val="List Table 6 Colorful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03">
    <w:name w:val="List Table 6 Colorful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04">
    <w:name w:val="List Table 6 Colorful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05">
    <w:name w:val="List Table 6 Colorful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06">
    <w:name w:val="List Table 7 Colorful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07">
    <w:name w:val="List Table 7 Colorful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908">
    <w:name w:val="List Table 7 Colorful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09">
    <w:name w:val="List Table 7 Colorful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10">
    <w:name w:val="List Table 7 Colorful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11">
    <w:name w:val="List Table 7 Colorful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912">
    <w:name w:val="List Table 7 Colorful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13">
    <w:name w:val="Lined - Accent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4">
    <w:name w:val="Lined - Accent 1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15">
    <w:name w:val="Lined - Accent 2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16">
    <w:name w:val="Lined - Accent 3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17">
    <w:name w:val="Lined - Accent 4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18">
    <w:name w:val="Lined - Accent 5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19">
    <w:name w:val="Lined - Accent 6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20">
    <w:name w:val="Bordered &amp; Lined - Accent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1">
    <w:name w:val="Bordered &amp; Lined - Accent 1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22">
    <w:name w:val="Bordered &amp; Lined - Accent 2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23">
    <w:name w:val="Bordered &amp; Lined - Accent 3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24">
    <w:name w:val="Bordered &amp; Lined - Accent 4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25">
    <w:name w:val="Bordered &amp; Lined - Accent 5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26">
    <w:name w:val="Bordered &amp; Lined - Accent 6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27">
    <w:name w:val="Bordered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28">
    <w:name w:val="Bordered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29">
    <w:name w:val="Bordered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30">
    <w:name w:val="Bordered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31">
    <w:name w:val="Bordered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32">
    <w:name w:val="Bordered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33">
    <w:name w:val="Bordered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34">
    <w:name w:val="Footnote Text Char"/>
    <w:link w:val="953"/>
    <w:uiPriority w:val="99"/>
    <w:rPr>
      <w:sz w:val="18"/>
    </w:rPr>
  </w:style>
  <w:style w:type="character" w:styleId="935">
    <w:name w:val="Endnote Text Char"/>
    <w:link w:val="1047"/>
    <w:uiPriority w:val="99"/>
    <w:rPr>
      <w:sz w:val="20"/>
    </w:rPr>
  </w:style>
  <w:style w:type="paragraph" w:styleId="936">
    <w:name w:val="table of figures"/>
    <w:basedOn w:val="937"/>
    <w:next w:val="937"/>
    <w:uiPriority w:val="99"/>
    <w:unhideWhenUsed/>
    <w:pPr>
      <w:spacing w:after="0" w:afterAutospacing="0"/>
    </w:pPr>
  </w:style>
  <w:style w:type="paragraph" w:styleId="937" w:default="1">
    <w:name w:val="Normal"/>
    <w:qFormat/>
    <w:rPr>
      <w:sz w:val="28"/>
      <w:szCs w:val="28"/>
    </w:rPr>
  </w:style>
  <w:style w:type="paragraph" w:styleId="938">
    <w:name w:val="Heading 1"/>
    <w:basedOn w:val="940"/>
    <w:next w:val="937"/>
    <w:link w:val="991"/>
    <w:qFormat/>
    <w:pPr>
      <w:outlineLvl w:val="0"/>
    </w:pPr>
    <w:rPr>
      <w:sz w:val="28"/>
      <w:szCs w:val="28"/>
    </w:rPr>
  </w:style>
  <w:style w:type="paragraph" w:styleId="939">
    <w:name w:val="Heading 2"/>
    <w:basedOn w:val="941"/>
    <w:next w:val="937"/>
    <w:link w:val="993"/>
    <w:qFormat/>
    <w:pPr>
      <w:outlineLvl w:val="1"/>
    </w:pPr>
  </w:style>
  <w:style w:type="paragraph" w:styleId="940">
    <w:name w:val="Heading 3"/>
    <w:basedOn w:val="937"/>
    <w:next w:val="937"/>
    <w:link w:val="994"/>
    <w:qFormat/>
    <w:p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941">
    <w:name w:val="Heading 4"/>
    <w:basedOn w:val="940"/>
    <w:next w:val="937"/>
    <w:link w:val="995"/>
    <w:qFormat/>
    <w:pPr>
      <w:outlineLvl w:val="3"/>
    </w:pPr>
    <w:rPr>
      <w:bCs/>
    </w:rPr>
  </w:style>
  <w:style w:type="paragraph" w:styleId="942">
    <w:name w:val="Heading 5"/>
    <w:basedOn w:val="937"/>
    <w:next w:val="937"/>
    <w:link w:val="996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43">
    <w:name w:val="Heading 6"/>
    <w:basedOn w:val="937"/>
    <w:next w:val="937"/>
    <w:link w:val="988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944">
    <w:name w:val="Heading 7"/>
    <w:basedOn w:val="937"/>
    <w:next w:val="937"/>
    <w:link w:val="989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45">
    <w:name w:val="Heading 8"/>
    <w:basedOn w:val="937"/>
    <w:next w:val="937"/>
    <w:link w:val="990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46">
    <w:name w:val="Heading 9"/>
    <w:basedOn w:val="937"/>
    <w:next w:val="937"/>
    <w:link w:val="997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947" w:default="1">
    <w:name w:val="Default Paragraph Font"/>
    <w:uiPriority w:val="1"/>
    <w:unhideWhenUsed/>
  </w:style>
  <w:style w:type="table" w:styleId="94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49" w:default="1">
    <w:name w:val="No List"/>
    <w:uiPriority w:val="99"/>
    <w:semiHidden/>
    <w:unhideWhenUsed/>
  </w:style>
  <w:style w:type="paragraph" w:styleId="950" w:customStyle="1">
    <w:name w:val="Название раздела инструкции"/>
    <w:basedOn w:val="937"/>
    <w:pPr>
      <w:jc w:val="center"/>
    </w:pPr>
    <w:rPr>
      <w:b/>
    </w:rPr>
  </w:style>
  <w:style w:type="paragraph" w:styleId="951" w:customStyle="1">
    <w:name w:val="Раздел положения"/>
    <w:basedOn w:val="937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52" w:customStyle="1">
    <w:name w:val="Подраздел раздела положения"/>
    <w:basedOn w:val="937"/>
    <w:pPr>
      <w:numPr>
        <w:ilvl w:val="1"/>
        <w:numId w:val="1"/>
      </w:numPr>
      <w:jc w:val="both"/>
      <w:spacing w:before="80" w:after="80"/>
    </w:pPr>
  </w:style>
  <w:style w:type="paragraph" w:styleId="953">
    <w:name w:val="footnote text"/>
    <w:basedOn w:val="937"/>
    <w:link w:val="1027"/>
    <w:uiPriority w:val="99"/>
    <w:rPr>
      <w:sz w:val="20"/>
      <w:szCs w:val="20"/>
    </w:rPr>
  </w:style>
  <w:style w:type="character" w:styleId="954">
    <w:name w:val="footnote reference"/>
    <w:rPr>
      <w:vertAlign w:val="superscript"/>
    </w:rPr>
  </w:style>
  <w:style w:type="paragraph" w:styleId="955" w:customStyle="1">
    <w:name w:val="Шапка 1"/>
    <w:basedOn w:val="937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56" w:customStyle="1">
    <w:name w:val="Шапка 2"/>
    <w:basedOn w:val="937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57" w:customStyle="1">
    <w:name w:val="Шапка 3"/>
    <w:basedOn w:val="937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58" w:customStyle="1">
    <w:name w:val="Название1"/>
    <w:basedOn w:val="937"/>
    <w:link w:val="1000"/>
    <w:uiPriority w:val="10"/>
    <w:qFormat/>
    <w:pPr>
      <w:jc w:val="center"/>
    </w:pPr>
    <w:rPr>
      <w:szCs w:val="20"/>
    </w:rPr>
  </w:style>
  <w:style w:type="paragraph" w:styleId="959">
    <w:name w:val="Header"/>
    <w:basedOn w:val="937"/>
    <w:link w:val="1044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60">
    <w:name w:val="Body Text Indent"/>
    <w:basedOn w:val="937"/>
    <w:pPr>
      <w:ind w:left="360"/>
    </w:pPr>
    <w:rPr>
      <w:sz w:val="24"/>
      <w:szCs w:val="24"/>
    </w:rPr>
  </w:style>
  <w:style w:type="table" w:styleId="961">
    <w:name w:val="Table Grid"/>
    <w:basedOn w:val="948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62">
    <w:name w:val="Footer"/>
    <w:basedOn w:val="937"/>
    <w:pPr>
      <w:tabs>
        <w:tab w:val="center" w:pos="4677" w:leader="none"/>
        <w:tab w:val="right" w:pos="9355" w:leader="none"/>
      </w:tabs>
    </w:pPr>
  </w:style>
  <w:style w:type="paragraph" w:styleId="963">
    <w:name w:val="Body Text"/>
    <w:basedOn w:val="937"/>
    <w:link w:val="1030"/>
    <w:pPr>
      <w:spacing w:after="120"/>
    </w:pPr>
  </w:style>
  <w:style w:type="paragraph" w:styleId="964">
    <w:name w:val="Body Text Indent 2"/>
    <w:basedOn w:val="937"/>
    <w:pPr>
      <w:ind w:left="283"/>
      <w:spacing w:after="120" w:line="480" w:lineRule="auto"/>
    </w:pPr>
  </w:style>
  <w:style w:type="paragraph" w:styleId="965">
    <w:name w:val="Body Text 3"/>
    <w:basedOn w:val="937"/>
    <w:pPr>
      <w:spacing w:after="120"/>
    </w:pPr>
    <w:rPr>
      <w:sz w:val="16"/>
      <w:szCs w:val="16"/>
    </w:rPr>
  </w:style>
  <w:style w:type="paragraph" w:styleId="966">
    <w:name w:val="Body Text Indent 3"/>
    <w:basedOn w:val="937"/>
    <w:link w:val="1061"/>
    <w:pPr>
      <w:ind w:left="283"/>
      <w:spacing w:after="120"/>
    </w:pPr>
    <w:rPr>
      <w:sz w:val="16"/>
      <w:szCs w:val="16"/>
    </w:rPr>
  </w:style>
  <w:style w:type="paragraph" w:styleId="967">
    <w:name w:val="Body Text 2"/>
    <w:basedOn w:val="937"/>
    <w:pPr>
      <w:spacing w:after="120" w:line="480" w:lineRule="auto"/>
    </w:pPr>
  </w:style>
  <w:style w:type="paragraph" w:styleId="968">
    <w:name w:val="Block Text"/>
    <w:basedOn w:val="937"/>
    <w:pPr>
      <w:ind w:left="-567" w:right="-766"/>
      <w:jc w:val="center"/>
    </w:pPr>
    <w:rPr>
      <w:b/>
      <w:bCs/>
      <w:sz w:val="24"/>
      <w:szCs w:val="20"/>
    </w:rPr>
  </w:style>
  <w:style w:type="paragraph" w:styleId="969" w:customStyle="1">
    <w:name w:val="Подпункт"/>
    <w:basedOn w:val="937"/>
    <w:link w:val="1025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70" w:customStyle="1">
    <w:name w:val="Пункт2"/>
    <w:basedOn w:val="937"/>
    <w:link w:val="1051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71">
    <w:name w:val="page number"/>
    <w:basedOn w:val="947"/>
  </w:style>
  <w:style w:type="paragraph" w:styleId="972">
    <w:name w:val="toc 1"/>
    <w:basedOn w:val="937"/>
    <w:next w:val="937"/>
    <w:uiPriority w:val="39"/>
    <w:pPr>
      <w:spacing w:before="120"/>
      <w:tabs>
        <w:tab w:val="right" w:pos="9911" w:leader="dot"/>
      </w:tabs>
    </w:pPr>
    <w:rPr>
      <w:b/>
      <w:bCs/>
      <w:sz w:val="24"/>
      <w:szCs w:val="24"/>
    </w:rPr>
  </w:style>
  <w:style w:type="paragraph" w:styleId="973">
    <w:name w:val="toc 3"/>
    <w:basedOn w:val="937"/>
    <w:next w:val="937"/>
    <w:uiPriority w:val="39"/>
    <w:pPr>
      <w:ind w:left="280"/>
    </w:pPr>
    <w:rPr>
      <w:rFonts w:cstheme="minorHAnsi"/>
      <w:sz w:val="20"/>
      <w:szCs w:val="20"/>
    </w:rPr>
  </w:style>
  <w:style w:type="character" w:styleId="974">
    <w:name w:val="Hyperlink"/>
    <w:uiPriority w:val="99"/>
    <w:rPr>
      <w:color w:val="0000ff"/>
      <w:u w:val="single"/>
    </w:rPr>
  </w:style>
  <w:style w:type="paragraph" w:styleId="975" w:customStyle="1">
    <w:name w:val="Раздел регламента"/>
    <w:basedOn w:val="937"/>
  </w:style>
  <w:style w:type="paragraph" w:styleId="976" w:customStyle="1">
    <w:name w:val="Приложение к регламенту"/>
    <w:basedOn w:val="937"/>
    <w:pPr>
      <w:jc w:val="right"/>
    </w:pPr>
  </w:style>
  <w:style w:type="paragraph" w:styleId="977">
    <w:name w:val="toc 2"/>
    <w:basedOn w:val="937"/>
    <w:next w:val="937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78">
    <w:name w:val="Balloon Text"/>
    <w:basedOn w:val="937"/>
    <w:semiHidden/>
    <w:rPr>
      <w:rFonts w:ascii="Tahoma" w:hAnsi="Tahoma" w:cs="Tahoma"/>
      <w:sz w:val="16"/>
      <w:szCs w:val="16"/>
    </w:rPr>
  </w:style>
  <w:style w:type="character" w:styleId="979">
    <w:name w:val="annotation reference"/>
    <w:uiPriority w:val="99"/>
    <w:semiHidden/>
    <w:rPr>
      <w:sz w:val="16"/>
      <w:szCs w:val="16"/>
    </w:rPr>
  </w:style>
  <w:style w:type="paragraph" w:styleId="980">
    <w:name w:val="annotation text"/>
    <w:basedOn w:val="937"/>
    <w:link w:val="1045"/>
    <w:semiHidden/>
    <w:rPr>
      <w:sz w:val="20"/>
      <w:szCs w:val="20"/>
    </w:rPr>
  </w:style>
  <w:style w:type="paragraph" w:styleId="981">
    <w:name w:val="annotation subject"/>
    <w:basedOn w:val="980"/>
    <w:next w:val="980"/>
    <w:semiHidden/>
    <w:rPr>
      <w:b/>
      <w:bCs/>
    </w:rPr>
  </w:style>
  <w:style w:type="paragraph" w:styleId="982" w:customStyle="1">
    <w:name w:val="Обычный (веб)1"/>
    <w:basedOn w:val="937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83">
    <w:name w:val="toc 9"/>
    <w:basedOn w:val="937"/>
    <w:next w:val="937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84">
    <w:name w:val="toc 5"/>
    <w:basedOn w:val="937"/>
    <w:next w:val="937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85">
    <w:name w:val="toc 4"/>
    <w:basedOn w:val="937"/>
    <w:next w:val="937"/>
    <w:uiPriority w:val="39"/>
    <w:pPr>
      <w:ind w:left="560"/>
    </w:pPr>
    <w:rPr>
      <w:rFonts w:cstheme="minorHAnsi"/>
      <w:sz w:val="20"/>
      <w:szCs w:val="20"/>
    </w:rPr>
  </w:style>
  <w:style w:type="paragraph" w:styleId="986" w:customStyle="1">
    <w:name w:val="Раздел положения 2"/>
    <w:basedOn w:val="937"/>
    <w:pPr>
      <w:jc w:val="both"/>
      <w:pageBreakBefore/>
      <w:outlineLvl w:val="0"/>
    </w:pPr>
    <w:rPr>
      <w:b/>
    </w:rPr>
  </w:style>
  <w:style w:type="character" w:styleId="987">
    <w:name w:val="Strong"/>
    <w:qFormat/>
    <w:rPr>
      <w:b/>
      <w:bCs/>
    </w:rPr>
  </w:style>
  <w:style w:type="character" w:styleId="988" w:customStyle="1">
    <w:name w:val="Заголовок 6 Знак"/>
    <w:link w:val="943"/>
    <w:uiPriority w:val="9"/>
    <w:rPr>
      <w:rFonts w:ascii="Cambria" w:hAnsi="Cambria"/>
      <w:i/>
      <w:iCs/>
      <w:color w:val="243f60"/>
    </w:rPr>
  </w:style>
  <w:style w:type="character" w:styleId="989" w:customStyle="1">
    <w:name w:val="Заголовок 7 Знак"/>
    <w:link w:val="944"/>
    <w:uiPriority w:val="9"/>
    <w:rPr>
      <w:rFonts w:ascii="Cambria" w:hAnsi="Cambria"/>
      <w:i/>
      <w:iCs/>
      <w:color w:val="404040"/>
    </w:rPr>
  </w:style>
  <w:style w:type="character" w:styleId="990" w:customStyle="1">
    <w:name w:val="Заголовок 8 Знак"/>
    <w:link w:val="945"/>
    <w:uiPriority w:val="9"/>
    <w:rPr>
      <w:rFonts w:ascii="Cambria" w:hAnsi="Cambria"/>
      <w:color w:val="4f81bd"/>
    </w:rPr>
  </w:style>
  <w:style w:type="character" w:styleId="991" w:customStyle="1">
    <w:name w:val="Заголовок 1 Знак"/>
    <w:link w:val="938"/>
    <w:rPr>
      <w:rFonts w:eastAsia="Calibri"/>
      <w:b/>
      <w:sz w:val="28"/>
      <w:szCs w:val="28"/>
    </w:rPr>
  </w:style>
  <w:style w:type="paragraph" w:styleId="992" w:customStyle="1">
    <w:name w:val="Знак Знак Знак Знак Знак Знак Знак Знак Знак"/>
    <w:basedOn w:val="937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/>
    </w:rPr>
  </w:style>
  <w:style w:type="character" w:styleId="993" w:customStyle="1">
    <w:name w:val="Заголовок 2 Знак"/>
    <w:link w:val="939"/>
    <w:rPr>
      <w:rFonts w:eastAsia="Calibri"/>
      <w:b/>
      <w:bCs/>
      <w:sz w:val="24"/>
      <w:szCs w:val="24"/>
    </w:rPr>
  </w:style>
  <w:style w:type="character" w:styleId="994" w:customStyle="1">
    <w:name w:val="Заголовок 3 Знак"/>
    <w:link w:val="940"/>
    <w:rPr>
      <w:rFonts w:eastAsia="Calibri"/>
      <w:b/>
      <w:sz w:val="24"/>
      <w:szCs w:val="24"/>
    </w:rPr>
  </w:style>
  <w:style w:type="character" w:styleId="995" w:customStyle="1">
    <w:name w:val="Заголовок 4 Знак"/>
    <w:link w:val="941"/>
    <w:rPr>
      <w:rFonts w:eastAsia="Calibri"/>
      <w:b/>
      <w:bCs/>
      <w:sz w:val="24"/>
      <w:szCs w:val="24"/>
    </w:rPr>
  </w:style>
  <w:style w:type="character" w:styleId="996" w:customStyle="1">
    <w:name w:val="Заголовок 5 Знак"/>
    <w:link w:val="942"/>
    <w:uiPriority w:val="9"/>
    <w:rPr>
      <w:b/>
      <w:bCs/>
      <w:i/>
      <w:iCs/>
      <w:sz w:val="26"/>
      <w:szCs w:val="26"/>
    </w:rPr>
  </w:style>
  <w:style w:type="character" w:styleId="997" w:customStyle="1">
    <w:name w:val="Заголовок 9 Знак"/>
    <w:link w:val="946"/>
    <w:uiPriority w:val="9"/>
    <w:rPr>
      <w:rFonts w:ascii="Arial" w:hAnsi="Arial" w:cs="Arial"/>
      <w:sz w:val="22"/>
      <w:szCs w:val="22"/>
    </w:rPr>
  </w:style>
  <w:style w:type="paragraph" w:styleId="998">
    <w:name w:val="No Spacing"/>
    <w:basedOn w:val="937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99">
    <w:name w:val="Caption"/>
    <w:basedOn w:val="937"/>
    <w:next w:val="937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1000" w:customStyle="1">
    <w:name w:val="Название Знак"/>
    <w:link w:val="958"/>
    <w:uiPriority w:val="10"/>
    <w:rPr>
      <w:sz w:val="28"/>
    </w:rPr>
  </w:style>
  <w:style w:type="paragraph" w:styleId="1001">
    <w:name w:val="Subtitle"/>
    <w:basedOn w:val="937"/>
    <w:next w:val="937"/>
    <w:link w:val="1002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002" w:customStyle="1">
    <w:name w:val="Подзаголовок Знак"/>
    <w:link w:val="1001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1003">
    <w:name w:val="Emphasis"/>
    <w:uiPriority w:val="20"/>
    <w:qFormat/>
    <w:rPr>
      <w:i/>
      <w:iCs/>
    </w:rPr>
  </w:style>
  <w:style w:type="paragraph" w:styleId="1004">
    <w:name w:val="List Paragraph"/>
    <w:basedOn w:val="937"/>
    <w:link w:val="1034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005">
    <w:name w:val="Quote"/>
    <w:basedOn w:val="937"/>
    <w:next w:val="937"/>
    <w:link w:val="1006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06" w:customStyle="1">
    <w:name w:val="Цитата 2 Знак"/>
    <w:link w:val="1005"/>
    <w:uiPriority w:val="29"/>
    <w:rPr>
      <w:rFonts w:ascii="Calibri" w:hAnsi="Calibri" w:eastAsia="Calibri"/>
      <w:i/>
      <w:iCs/>
      <w:color w:val="000000"/>
    </w:rPr>
  </w:style>
  <w:style w:type="paragraph" w:styleId="1007">
    <w:name w:val="Intense Quote"/>
    <w:basedOn w:val="937"/>
    <w:next w:val="937"/>
    <w:link w:val="1008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08" w:customStyle="1">
    <w:name w:val="Выделенная цитата Знак"/>
    <w:link w:val="1007"/>
    <w:uiPriority w:val="30"/>
    <w:rPr>
      <w:rFonts w:ascii="Calibri" w:hAnsi="Calibri" w:eastAsia="Calibri"/>
      <w:b/>
      <w:bCs/>
      <w:i/>
      <w:iCs/>
      <w:color w:val="4f81bd"/>
    </w:rPr>
  </w:style>
  <w:style w:type="character" w:styleId="1009">
    <w:name w:val="Subtle Emphasis"/>
    <w:uiPriority w:val="19"/>
    <w:qFormat/>
    <w:rPr>
      <w:i/>
      <w:iCs/>
      <w:color w:val="808080"/>
    </w:rPr>
  </w:style>
  <w:style w:type="character" w:styleId="1010">
    <w:name w:val="Intense Emphasis"/>
    <w:uiPriority w:val="21"/>
    <w:qFormat/>
    <w:rPr>
      <w:b/>
      <w:bCs/>
      <w:i/>
      <w:iCs/>
      <w:color w:val="4f81bd"/>
    </w:rPr>
  </w:style>
  <w:style w:type="character" w:styleId="1011">
    <w:name w:val="Subtle Reference"/>
    <w:uiPriority w:val="31"/>
    <w:qFormat/>
    <w:rPr>
      <w:smallCaps/>
      <w:color w:val="c0504d"/>
      <w:u w:val="single"/>
    </w:rPr>
  </w:style>
  <w:style w:type="character" w:styleId="1012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13">
    <w:name w:val="Book Title"/>
    <w:uiPriority w:val="33"/>
    <w:qFormat/>
    <w:rPr>
      <w:b/>
      <w:bCs/>
      <w:smallCaps/>
      <w:spacing w:val="5"/>
    </w:rPr>
  </w:style>
  <w:style w:type="paragraph" w:styleId="1014">
    <w:name w:val="TOC Heading"/>
    <w:basedOn w:val="938"/>
    <w:next w:val="937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15">
    <w:name w:val="E-mail Signature"/>
    <w:basedOn w:val="937"/>
    <w:link w:val="1016"/>
    <w:uiPriority w:val="99"/>
    <w:unhideWhenUsed/>
    <w:rPr>
      <w:rFonts w:eastAsia="Calibri"/>
      <w:sz w:val="24"/>
      <w:szCs w:val="24"/>
    </w:rPr>
  </w:style>
  <w:style w:type="character" w:styleId="1016" w:customStyle="1">
    <w:name w:val="Электронная подпись Знак"/>
    <w:link w:val="1015"/>
    <w:uiPriority w:val="99"/>
    <w:rPr>
      <w:rFonts w:eastAsia="Calibri"/>
      <w:sz w:val="24"/>
      <w:szCs w:val="24"/>
    </w:rPr>
  </w:style>
  <w:style w:type="paragraph" w:styleId="1017" w:customStyle="1">
    <w:name w:val="Знак"/>
    <w:basedOn w:val="93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1018" w:customStyle="1">
    <w:name w:val="Нумерованный список ур3"/>
    <w:basedOn w:val="937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19" w:customStyle="1">
    <w:name w:val="Нумерованный список 1"/>
    <w:basedOn w:val="937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20" w:customStyle="1">
    <w:name w:val="Нумерованный список ур2"/>
    <w:basedOn w:val="937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21">
    <w:name w:val="Revision"/>
    <w:hidden/>
    <w:uiPriority w:val="99"/>
    <w:semiHidden/>
    <w:rPr>
      <w:rFonts w:eastAsia="Calibri"/>
      <w:sz w:val="24"/>
      <w:szCs w:val="24"/>
    </w:rPr>
  </w:style>
  <w:style w:type="paragraph" w:styleId="1022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023" w:customStyle="1">
    <w:name w:val="Знак Знак3 Знак Знак"/>
    <w:basedOn w:val="937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/>
    </w:rPr>
  </w:style>
  <w:style w:type="paragraph" w:styleId="1024" w:customStyle="1">
    <w:name w:val="Пункт"/>
    <w:basedOn w:val="937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25" w:customStyle="1">
    <w:name w:val="Подпункт Знак1"/>
    <w:link w:val="969"/>
    <w:rPr>
      <w:sz w:val="28"/>
    </w:rPr>
  </w:style>
  <w:style w:type="paragraph" w:styleId="1026" w:customStyle="1">
    <w:name w:val="Абзац списка1"/>
    <w:basedOn w:val="937"/>
    <w:pPr>
      <w:contextualSpacing/>
      <w:ind w:left="720"/>
      <w:spacing w:after="200" w:line="276" w:lineRule="auto"/>
    </w:pPr>
    <w:rPr>
      <w:rFonts w:ascii="Calibri" w:hAnsi="Calibri"/>
      <w:sz w:val="22"/>
      <w:szCs w:val="22"/>
    </w:rPr>
  </w:style>
  <w:style w:type="character" w:styleId="1027" w:customStyle="1">
    <w:name w:val="Текст сноски Знак"/>
    <w:link w:val="953"/>
    <w:uiPriority w:val="99"/>
  </w:style>
  <w:style w:type="numbering" w:styleId="1028" w:customStyle="1">
    <w:name w:val="Стиль1"/>
    <w:uiPriority w:val="99"/>
    <w:pPr>
      <w:numPr>
        <w:ilvl w:val="0"/>
        <w:numId w:val="3"/>
      </w:numPr>
    </w:pPr>
  </w:style>
  <w:style w:type="paragraph" w:styleId="1029" w:customStyle="1">
    <w:name w:val="Таблица"/>
    <w:basedOn w:val="937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30" w:customStyle="1">
    <w:name w:val="Основной текст Знак"/>
    <w:link w:val="963"/>
    <w:rPr>
      <w:sz w:val="28"/>
      <w:szCs w:val="28"/>
    </w:rPr>
  </w:style>
  <w:style w:type="character" w:styleId="1031" w:customStyle="1">
    <w:name w:val="blk"/>
  </w:style>
  <w:style w:type="numbering" w:styleId="1032" w:customStyle="1">
    <w:name w:val="Стиль2"/>
    <w:uiPriority w:val="99"/>
    <w:pPr>
      <w:numPr>
        <w:ilvl w:val="0"/>
        <w:numId w:val="4"/>
      </w:numPr>
    </w:pPr>
  </w:style>
  <w:style w:type="paragraph" w:styleId="1033" w:customStyle="1">
    <w:name w:val="Таблица шапка"/>
    <w:basedOn w:val="937"/>
    <w:pPr>
      <w:ind w:left="57" w:right="57"/>
      <w:keepNext/>
      <w:spacing w:before="40" w:after="40"/>
    </w:pPr>
    <w:rPr>
      <w:sz w:val="22"/>
      <w:szCs w:val="26"/>
    </w:rPr>
  </w:style>
  <w:style w:type="character" w:styleId="1034" w:customStyle="1">
    <w:name w:val="Абзац списка Знак"/>
    <w:link w:val="1004"/>
    <w:uiPriority w:val="34"/>
    <w:rPr>
      <w:rFonts w:eastAsia="Calibri"/>
      <w:sz w:val="24"/>
      <w:szCs w:val="24"/>
    </w:rPr>
  </w:style>
  <w:style w:type="character" w:styleId="1035" w:customStyle="1">
    <w:name w:val="комментарий"/>
    <w:rPr>
      <w:b/>
      <w:i/>
      <w:shd w:val="clear" w:color="auto" w:fill="ffff99"/>
    </w:rPr>
  </w:style>
  <w:style w:type="paragraph" w:styleId="1036" w:customStyle="1">
    <w:name w:val="Подподпункт"/>
    <w:basedOn w:val="969"/>
    <w:link w:val="1037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1037" w:customStyle="1">
    <w:name w:val="Подподпункт Знак"/>
    <w:link w:val="1036"/>
    <w:rPr>
      <w:sz w:val="26"/>
      <w:szCs w:val="26"/>
    </w:rPr>
  </w:style>
  <w:style w:type="paragraph" w:styleId="1038" w:customStyle="1">
    <w:name w:val="УРОВЕНЬ_(а)"/>
    <w:basedOn w:val="1004"/>
    <w:qFormat/>
    <w:pPr>
      <w:numPr>
        <w:ilvl w:val="3"/>
        <w:numId w:val="5"/>
      </w:numPr>
      <w:contextualSpacing w:val="0"/>
      <w:jc w:val="both"/>
      <w:spacing w:before="120" w:line="360" w:lineRule="exact"/>
      <w:outlineLvl w:val="3"/>
    </w:pPr>
    <w:rPr>
      <w:sz w:val="26"/>
      <w:szCs w:val="28"/>
    </w:rPr>
  </w:style>
  <w:style w:type="paragraph" w:styleId="1039" w:customStyle="1">
    <w:name w:val="УРОВЕНЬ_-"/>
    <w:basedOn w:val="1004"/>
    <w:qFormat/>
    <w:pPr>
      <w:numPr>
        <w:ilvl w:val="4"/>
        <w:numId w:val="5"/>
      </w:numPr>
      <w:contextualSpacing w:val="0"/>
      <w:jc w:val="both"/>
      <w:spacing w:before="120" w:line="360" w:lineRule="exact"/>
      <w:outlineLvl w:val="4"/>
    </w:pPr>
    <w:rPr>
      <w:sz w:val="26"/>
      <w:szCs w:val="28"/>
    </w:rPr>
  </w:style>
  <w:style w:type="paragraph" w:styleId="1040" w:customStyle="1">
    <w:name w:val="УРОВЕНЬ_Абзац_тип2"/>
    <w:basedOn w:val="1004"/>
    <w:qFormat/>
    <w:pPr>
      <w:numPr>
        <w:ilvl w:val="6"/>
        <w:numId w:val="5"/>
      </w:numPr>
      <w:contextualSpacing w:val="0"/>
      <w:jc w:val="both"/>
      <w:spacing w:before="120" w:line="360" w:lineRule="exact"/>
    </w:pPr>
    <w:rPr>
      <w:sz w:val="26"/>
      <w:szCs w:val="28"/>
    </w:rPr>
  </w:style>
  <w:style w:type="paragraph" w:styleId="1041" w:customStyle="1">
    <w:name w:val="УРОВЕНЬ_Абзац_тип3"/>
    <w:basedOn w:val="1004"/>
    <w:link w:val="1043"/>
    <w:qFormat/>
    <w:pPr>
      <w:numPr>
        <w:ilvl w:val="7"/>
        <w:numId w:val="5"/>
      </w:numPr>
      <w:contextualSpacing w:val="0"/>
      <w:jc w:val="both"/>
      <w:spacing w:before="120" w:line="360" w:lineRule="exact"/>
    </w:pPr>
    <w:rPr>
      <w:sz w:val="26"/>
      <w:szCs w:val="28"/>
    </w:rPr>
  </w:style>
  <w:style w:type="paragraph" w:styleId="1042" w:customStyle="1">
    <w:name w:val="УРОВЕНЬ_Подпись"/>
    <w:basedOn w:val="1004"/>
    <w:qFormat/>
    <w:pPr>
      <w:numPr>
        <w:ilvl w:val="5"/>
        <w:numId w:val="5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</w:rPr>
  </w:style>
  <w:style w:type="character" w:styleId="1043" w:customStyle="1">
    <w:name w:val="УРОВЕНЬ_Абзац_тип3 Знак"/>
    <w:link w:val="1041"/>
    <w:rPr>
      <w:rFonts w:eastAsia="Calibri"/>
      <w:sz w:val="26"/>
      <w:szCs w:val="28"/>
    </w:rPr>
  </w:style>
  <w:style w:type="character" w:styleId="1044" w:customStyle="1">
    <w:name w:val="Верхний колонтитул Знак"/>
    <w:link w:val="959"/>
    <w:uiPriority w:val="99"/>
    <w:rPr>
      <w:sz w:val="24"/>
      <w:szCs w:val="24"/>
    </w:rPr>
  </w:style>
  <w:style w:type="character" w:styleId="1045" w:customStyle="1">
    <w:name w:val="Текст примечания Знак"/>
    <w:link w:val="980"/>
    <w:semiHidden/>
  </w:style>
  <w:style w:type="paragraph" w:styleId="1046" w:customStyle="1">
    <w:name w:val="Стиль Заголовок 1 + по ширине"/>
    <w:basedOn w:val="938"/>
    <w:p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1047">
    <w:name w:val="endnote text"/>
    <w:basedOn w:val="937"/>
    <w:link w:val="1048"/>
    <w:rPr>
      <w:sz w:val="20"/>
      <w:szCs w:val="20"/>
    </w:rPr>
  </w:style>
  <w:style w:type="character" w:styleId="1048" w:customStyle="1">
    <w:name w:val="Текст концевой сноски Знак"/>
    <w:basedOn w:val="947"/>
    <w:link w:val="1047"/>
  </w:style>
  <w:style w:type="character" w:styleId="1049">
    <w:name w:val="endnote reference"/>
    <w:basedOn w:val="947"/>
    <w:rPr>
      <w:vertAlign w:val="superscript"/>
    </w:rPr>
  </w:style>
  <w:style w:type="paragraph" w:styleId="1050" w:customStyle="1">
    <w:name w:val="Заголовок 2 КВВ"/>
    <w:basedOn w:val="937"/>
    <w:qFormat/>
    <w:pPr>
      <w:numPr>
        <w:ilvl w:val="0"/>
        <w:numId w:val="6"/>
      </w:numPr>
      <w:ind w:hanging="357"/>
      <w:jc w:val="both"/>
      <w:keepNext/>
      <w:spacing w:before="240" w:after="120"/>
      <w:outlineLvl w:val="0"/>
    </w:pPr>
    <w:rPr>
      <w:b/>
      <w:sz w:val="24"/>
      <w:szCs w:val="20"/>
    </w:rPr>
  </w:style>
  <w:style w:type="character" w:styleId="1051" w:customStyle="1">
    <w:name w:val="Пункт2 Знак"/>
    <w:link w:val="970"/>
    <w:rPr>
      <w:b/>
      <w:sz w:val="28"/>
    </w:rPr>
  </w:style>
  <w:style w:type="paragraph" w:styleId="1052" w:customStyle="1">
    <w:name w:val="Таблица текст"/>
    <w:basedOn w:val="937"/>
    <w:pPr>
      <w:ind w:left="57" w:right="57"/>
      <w:spacing w:before="40" w:after="40"/>
    </w:pPr>
    <w:rPr>
      <w:sz w:val="24"/>
      <w:szCs w:val="26"/>
    </w:rPr>
  </w:style>
  <w:style w:type="paragraph" w:styleId="1053">
    <w:name w:val="Normal (Web)"/>
    <w:basedOn w:val="937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54" w:customStyle="1">
    <w:name w:val="УРОВЕНЬ_1."/>
    <w:basedOn w:val="1004"/>
    <w:link w:val="1055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</w:rPr>
  </w:style>
  <w:style w:type="character" w:styleId="1055" w:customStyle="1">
    <w:name w:val="УРОВЕНЬ_1. Знак"/>
    <w:link w:val="1054"/>
    <w:rPr>
      <w:rFonts w:eastAsia="Calibri"/>
      <w:caps/>
      <w:sz w:val="28"/>
      <w:szCs w:val="28"/>
      <w:lang w:eastAsia="en-US"/>
    </w:rPr>
  </w:style>
  <w:style w:type="table" w:styleId="1056" w:customStyle="1">
    <w:name w:val="Сетка таблицы1"/>
    <w:basedOn w:val="948"/>
    <w:next w:val="961"/>
    <w:uiPriority w:val="39"/>
    <w:rPr>
      <w:rFonts w:asciiTheme="minorHAnsi" w:hAnsiTheme="minorHAnsi" w:eastAsiaTheme="minorHAnsi" w:cstheme="minorBidi"/>
      <w:sz w:val="24"/>
      <w:szCs w:val="24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57">
    <w:name w:val="toc 6"/>
    <w:basedOn w:val="937"/>
    <w:next w:val="937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58">
    <w:name w:val="toc 7"/>
    <w:basedOn w:val="937"/>
    <w:next w:val="937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59">
    <w:name w:val="toc 8"/>
    <w:basedOn w:val="937"/>
    <w:next w:val="937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60" w:customStyle="1">
    <w:name w:val="Неразрешенное упоминание1"/>
    <w:basedOn w:val="947"/>
    <w:uiPriority w:val="99"/>
    <w:semiHidden/>
    <w:unhideWhenUsed/>
    <w:rPr>
      <w:color w:val="605e5c"/>
      <w:shd w:val="clear" w:color="auto" w:fill="e1dfdd"/>
    </w:rPr>
  </w:style>
  <w:style w:type="character" w:styleId="1061" w:customStyle="1">
    <w:name w:val="Основной текст с отступом 3 Знак"/>
    <w:link w:val="966"/>
    <w:rPr>
      <w:sz w:val="16"/>
      <w:szCs w:val="16"/>
    </w:rPr>
  </w:style>
  <w:style w:type="paragraph" w:styleId="1062" w:customStyle="1">
    <w:name w:val="ConsNonformat"/>
    <w:rPr>
      <w:rFonts w:ascii="Courier New" w:hAnsi="Courier New" w:cs="Courier New"/>
      <w:lang w:eastAsia="ru-RU"/>
    </w:rPr>
  </w:style>
  <w:style w:type="paragraph" w:styleId="1063" w:customStyle="1">
    <w:name w:val="ConsNormal"/>
    <w:link w:val="1064"/>
    <w:pPr>
      <w:ind w:firstLine="720"/>
    </w:pPr>
    <w:rPr>
      <w:rFonts w:ascii="Arial" w:hAnsi="Arial" w:cs="Arial"/>
      <w:sz w:val="24"/>
      <w:szCs w:val="24"/>
      <w:lang w:eastAsia="ru-RU"/>
    </w:rPr>
  </w:style>
  <w:style w:type="character" w:styleId="1064" w:customStyle="1">
    <w:name w:val="ConsNormal Знак"/>
    <w:link w:val="1063"/>
    <w:rPr>
      <w:rFonts w:ascii="Arial" w:hAnsi="Arial" w:cs="Arial"/>
      <w:sz w:val="24"/>
      <w:szCs w:val="24"/>
      <w:lang w:eastAsia="ru-RU"/>
    </w:rPr>
  </w:style>
  <w:style w:type="paragraph" w:styleId="1065" w:customStyle="1">
    <w:name w:val="Содержимое таблицы"/>
    <w:basedOn w:val="843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ACEBD-486C-41CA-B382-DE34A3696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revision>47</cp:revision>
  <dcterms:created xsi:type="dcterms:W3CDTF">2022-12-14T08:48:00Z</dcterms:created>
  <dcterms:modified xsi:type="dcterms:W3CDTF">2026-01-12T06:58:11Z</dcterms:modified>
</cp:coreProperties>
</file>